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23E97" w14:textId="46638A2A" w:rsidR="008A6AF9" w:rsidRDefault="00C814F9" w:rsidP="00C814F9">
      <w:pPr>
        <w:pStyle w:val="Title"/>
      </w:pPr>
      <w:r>
        <w:t xml:space="preserve">Example Role Description: </w:t>
      </w:r>
      <w:r w:rsidR="000E3A46">
        <w:t>Senior Executive or Administrator</w:t>
      </w:r>
    </w:p>
    <w:p w14:paraId="011D1858" w14:textId="543B918E" w:rsidR="00484B5B" w:rsidRDefault="00484B5B" w:rsidP="00484B5B"/>
    <w:p w14:paraId="5F6489AB" w14:textId="77777777" w:rsidR="00073AC1" w:rsidRDefault="00484B5B" w:rsidP="00743F28">
      <w:pPr>
        <w:spacing w:after="160"/>
      </w:pPr>
      <w:r>
        <w:t xml:space="preserve">The following table provides an example of a role description developed using the DPC’s Competency Framework. </w:t>
      </w:r>
    </w:p>
    <w:p w14:paraId="1A086E79" w14:textId="765C5C6A" w:rsidR="00073AC1" w:rsidRDefault="00484B5B" w:rsidP="00743F28">
      <w:pPr>
        <w:spacing w:after="160"/>
      </w:pPr>
      <w:r>
        <w:t>Th</w:t>
      </w:r>
      <w:r w:rsidR="00073AC1">
        <w:t>is</w:t>
      </w:r>
      <w:r>
        <w:t xml:space="preserve"> role description </w:t>
      </w:r>
      <w:r w:rsidR="009A6CBD">
        <w:t>presents</w:t>
      </w:r>
      <w:r>
        <w:t xml:space="preserve"> the competencies </w:t>
      </w:r>
      <w:r w:rsidR="007C2B55">
        <w:t xml:space="preserve">someone in a role such as </w:t>
      </w:r>
      <w:r w:rsidR="00335DCB">
        <w:t xml:space="preserve">a </w:t>
      </w:r>
      <w:r w:rsidR="007C2B55">
        <w:t>“</w:t>
      </w:r>
      <w:r w:rsidR="00974AED">
        <w:t>Senior Executive or Administrator</w:t>
      </w:r>
      <w:r w:rsidR="007C2B55">
        <w:t xml:space="preserve">” </w:t>
      </w:r>
      <w:r>
        <w:t xml:space="preserve">might be expected to have </w:t>
      </w:r>
      <w:r w:rsidR="007C2B55">
        <w:t xml:space="preserve">after </w:t>
      </w:r>
      <w:r w:rsidR="003F6EFA">
        <w:t>some experience in the position</w:t>
      </w:r>
      <w:r>
        <w:t>.</w:t>
      </w:r>
      <w:r w:rsidR="007C2B55">
        <w:t xml:space="preserve"> </w:t>
      </w:r>
    </w:p>
    <w:p w14:paraId="0C4BC729" w14:textId="76E60E69" w:rsidR="00484B5B" w:rsidRDefault="00073AC1" w:rsidP="00073AC1">
      <w:pPr>
        <w:spacing w:after="120"/>
      </w:pPr>
      <w:r>
        <w:t>The</w:t>
      </w:r>
      <w:r w:rsidR="007C2B55">
        <w:t xml:space="preserve"> “</w:t>
      </w:r>
      <w:r w:rsidR="00974AED">
        <w:t>Senior Executive or Administrator</w:t>
      </w:r>
      <w:r w:rsidR="007C2B55">
        <w:t>”</w:t>
      </w:r>
      <w:r>
        <w:t xml:space="preserve"> role</w:t>
      </w:r>
      <w:r w:rsidR="007C2B55">
        <w:t xml:space="preserve"> is used to describe </w:t>
      </w:r>
      <w:r w:rsidR="00974AED">
        <w:t>someone in senior management who operates at a strategic level, providing direction and oversight</w:t>
      </w:r>
      <w:r w:rsidR="007C2B55">
        <w:t xml:space="preserve">. When hiring </w:t>
      </w:r>
      <w:r w:rsidR="009A6CBD">
        <w:t>for</w:t>
      </w:r>
      <w:r w:rsidR="007C2B55">
        <w:t xml:space="preserve"> such a role</w:t>
      </w:r>
      <w:r w:rsidR="009A6CBD">
        <w:t>,</w:t>
      </w:r>
      <w:r w:rsidR="007C2B55">
        <w:t xml:space="preserve"> it would be expected that applicants </w:t>
      </w:r>
      <w:r>
        <w:t xml:space="preserve">will </w:t>
      </w:r>
      <w:r w:rsidR="007C2B55">
        <w:t>have some</w:t>
      </w:r>
      <w:r>
        <w:t>,</w:t>
      </w:r>
      <w:r w:rsidR="007C2B55">
        <w:t xml:space="preserve"> but not </w:t>
      </w:r>
      <w:r w:rsidR="003B7019">
        <w:t>all</w:t>
      </w:r>
      <w:r>
        <w:t>,</w:t>
      </w:r>
      <w:r w:rsidR="003B7019">
        <w:t xml:space="preserve"> of the</w:t>
      </w:r>
      <w:r>
        <w:t>se</w:t>
      </w:r>
      <w:r w:rsidR="003B7019">
        <w:t xml:space="preserve"> skills </w:t>
      </w:r>
      <w:r w:rsidR="00335DCB">
        <w:t>and that they might build the full set of skills described here over time.</w:t>
      </w:r>
    </w:p>
    <w:p w14:paraId="68389D1A" w14:textId="5EEFCF2D" w:rsidR="003B7019" w:rsidRDefault="003B7019" w:rsidP="00484B5B"/>
    <w:tbl>
      <w:tblPr>
        <w:tblW w:w="10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57"/>
        <w:gridCol w:w="508"/>
        <w:gridCol w:w="1803"/>
        <w:gridCol w:w="1133"/>
        <w:gridCol w:w="1701"/>
        <w:gridCol w:w="3708"/>
      </w:tblGrid>
      <w:tr w:rsidR="000E3A46" w:rsidRPr="000E3A46" w14:paraId="05FAD1F8" w14:textId="77777777" w:rsidTr="003C7C56">
        <w:trPr>
          <w:trHeight w:val="300"/>
        </w:trPr>
        <w:tc>
          <w:tcPr>
            <w:tcW w:w="1757" w:type="dxa"/>
            <w:shd w:val="clear" w:color="auto" w:fill="auto"/>
            <w:vAlign w:val="center"/>
            <w:hideMark/>
          </w:tcPr>
          <w:p w14:paraId="79B6290E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Competency Area</w:t>
            </w:r>
          </w:p>
        </w:tc>
        <w:tc>
          <w:tcPr>
            <w:tcW w:w="508" w:type="dxa"/>
            <w:shd w:val="clear" w:color="auto" w:fill="auto"/>
            <w:vAlign w:val="center"/>
            <w:hideMark/>
          </w:tcPr>
          <w:p w14:paraId="5C51FC1D" w14:textId="6E2C6A9D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#</w:t>
            </w:r>
          </w:p>
        </w:tc>
        <w:tc>
          <w:tcPr>
            <w:tcW w:w="1803" w:type="dxa"/>
            <w:shd w:val="clear" w:color="auto" w:fill="auto"/>
            <w:vAlign w:val="center"/>
            <w:hideMark/>
          </w:tcPr>
          <w:p w14:paraId="5041D274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Skill Element</w:t>
            </w:r>
          </w:p>
        </w:tc>
        <w:tc>
          <w:tcPr>
            <w:tcW w:w="1133" w:type="dxa"/>
            <w:shd w:val="clear" w:color="auto" w:fill="auto"/>
            <w:vAlign w:val="center"/>
            <w:hideMark/>
          </w:tcPr>
          <w:p w14:paraId="083397E4" w14:textId="0B1A5BF1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Relevant</w:t>
            </w: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 to Role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E56C0F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Level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2134E9D2" w14:textId="57EDC8DC" w:rsidR="000E3A46" w:rsidRPr="000E3A46" w:rsidRDefault="00527F7E" w:rsidP="000E3A46">
            <w:pPr>
              <w:spacing w:line="240" w:lineRule="auto"/>
              <w:rPr>
                <w:rFonts w:ascii="Calibri" w:eastAsia="Times New Roman" w:hAnsi="Calibri" w:cs="Calibri"/>
                <w:b/>
                <w:bCs/>
                <w:color w:val="auto"/>
              </w:rPr>
            </w:pPr>
            <w:r>
              <w:rPr>
                <w:rFonts w:ascii="Calibri" w:eastAsia="Times New Roman" w:hAnsi="Calibri" w:cs="Calibri"/>
                <w:b/>
                <w:bCs/>
                <w:color w:val="auto"/>
              </w:rPr>
              <w:t xml:space="preserve">Example </w:t>
            </w:r>
            <w:r w:rsidR="000E3A46" w:rsidRPr="000E3A46">
              <w:rPr>
                <w:rFonts w:ascii="Calibri" w:eastAsia="Times New Roman" w:hAnsi="Calibri" w:cs="Calibri"/>
                <w:b/>
                <w:bCs/>
                <w:color w:val="auto"/>
              </w:rPr>
              <w:t>Statement</w:t>
            </w:r>
          </w:p>
        </w:tc>
      </w:tr>
      <w:tr w:rsidR="000E3A46" w:rsidRPr="000E3A46" w14:paraId="296EC681" w14:textId="77777777" w:rsidTr="003C7C56">
        <w:trPr>
          <w:trHeight w:val="982"/>
        </w:trPr>
        <w:tc>
          <w:tcPr>
            <w:tcW w:w="1757" w:type="dxa"/>
            <w:vMerge w:val="restart"/>
            <w:shd w:val="clear" w:color="000000" w:fill="FF9F9F"/>
            <w:vAlign w:val="center"/>
            <w:hideMark/>
          </w:tcPr>
          <w:p w14:paraId="0255BEC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Governance, Resourcing, and Management</w:t>
            </w:r>
          </w:p>
        </w:tc>
        <w:tc>
          <w:tcPr>
            <w:tcW w:w="508" w:type="dxa"/>
            <w:shd w:val="clear" w:color="000000" w:fill="FF9F9F"/>
            <w:vAlign w:val="center"/>
            <w:hideMark/>
          </w:tcPr>
          <w:p w14:paraId="2E85C90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5D7D72AC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Policy Development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30A5279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AEDD142" w14:textId="5095AE37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2081AA4B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Leads and monitors the development of organizational policies and their implementation</w:t>
            </w:r>
          </w:p>
        </w:tc>
      </w:tr>
      <w:tr w:rsidR="000E3A46" w:rsidRPr="000E3A46" w14:paraId="5248B994" w14:textId="77777777" w:rsidTr="003C7C56">
        <w:trPr>
          <w:trHeight w:val="1248"/>
        </w:trPr>
        <w:tc>
          <w:tcPr>
            <w:tcW w:w="1757" w:type="dxa"/>
            <w:vMerge/>
            <w:vAlign w:val="center"/>
            <w:hideMark/>
          </w:tcPr>
          <w:p w14:paraId="19C212B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F9F9F"/>
            <w:vAlign w:val="center"/>
            <w:hideMark/>
          </w:tcPr>
          <w:p w14:paraId="4555A843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0224F6BF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Risk Management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5F1AC025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04A4594" w14:textId="138C3E14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5C5C0C17" w14:textId="2CF467AF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Provides organizational oversight for implementation and monitoring of risk management roles, responsibilities</w:t>
            </w:r>
            <w:r>
              <w:rPr>
                <w:rFonts w:ascii="Calibri" w:eastAsia="Times New Roman" w:hAnsi="Calibri" w:cs="Calibri"/>
                <w:color w:val="000000"/>
              </w:rPr>
              <w:t>,</w:t>
            </w:r>
            <w:r w:rsidRPr="000E3A46">
              <w:rPr>
                <w:rFonts w:ascii="Calibri" w:eastAsia="Times New Roman" w:hAnsi="Calibri" w:cs="Calibri"/>
                <w:color w:val="000000"/>
              </w:rPr>
              <w:t xml:space="preserve"> and accountability</w:t>
            </w:r>
          </w:p>
        </w:tc>
      </w:tr>
      <w:tr w:rsidR="000E3A46" w:rsidRPr="000E3A46" w14:paraId="27021DAB" w14:textId="77777777" w:rsidTr="003C7C56">
        <w:trPr>
          <w:trHeight w:val="1054"/>
        </w:trPr>
        <w:tc>
          <w:tcPr>
            <w:tcW w:w="1757" w:type="dxa"/>
            <w:vMerge/>
            <w:vAlign w:val="center"/>
            <w:hideMark/>
          </w:tcPr>
          <w:p w14:paraId="4B0439D5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F9F9F"/>
            <w:vAlign w:val="center"/>
            <w:hideMark/>
          </w:tcPr>
          <w:p w14:paraId="7C2B7CC3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2B5E439F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Resource Management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5A54EB20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6CD0597" w14:textId="641679FD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025C38F7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 w:rsidRPr="000E3A46">
              <w:rPr>
                <w:rFonts w:ascii="Calibri" w:eastAsia="Times New Roman" w:hAnsi="Calibri" w:cs="Calibri"/>
                <w:color w:val="000000"/>
              </w:rPr>
              <w:t>Oversees</w:t>
            </w:r>
            <w:proofErr w:type="gramEnd"/>
            <w:r w:rsidRPr="000E3A46">
              <w:rPr>
                <w:rFonts w:ascii="Calibri" w:eastAsia="Times New Roman" w:hAnsi="Calibri" w:cs="Calibri"/>
                <w:color w:val="000000"/>
              </w:rPr>
              <w:t xml:space="preserve"> budgets, approves business cases for digital preservation, negotiates and manages contracts</w:t>
            </w:r>
          </w:p>
        </w:tc>
      </w:tr>
      <w:tr w:rsidR="000E3A46" w:rsidRPr="000E3A46" w14:paraId="658FCD32" w14:textId="77777777" w:rsidTr="003C7C56">
        <w:trPr>
          <w:trHeight w:val="1531"/>
        </w:trPr>
        <w:tc>
          <w:tcPr>
            <w:tcW w:w="1757" w:type="dxa"/>
            <w:vMerge/>
            <w:vAlign w:val="center"/>
            <w:hideMark/>
          </w:tcPr>
          <w:p w14:paraId="1738FCF9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F9F9F"/>
            <w:vAlign w:val="center"/>
            <w:hideMark/>
          </w:tcPr>
          <w:p w14:paraId="004D8A6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39C2DF11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Staff Management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03F4669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211A2A6" w14:textId="64A4C02A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09999FB0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Effective and empathetic manager of people and teams, motivates, and supports staff across departments or areas of the organization, has overseen or led staff recruitment</w:t>
            </w:r>
          </w:p>
        </w:tc>
      </w:tr>
      <w:tr w:rsidR="000E3A46" w:rsidRPr="000E3A46" w14:paraId="305F6490" w14:textId="77777777" w:rsidTr="003C7C56">
        <w:trPr>
          <w:trHeight w:val="964"/>
        </w:trPr>
        <w:tc>
          <w:tcPr>
            <w:tcW w:w="1757" w:type="dxa"/>
            <w:vMerge/>
            <w:vAlign w:val="center"/>
            <w:hideMark/>
          </w:tcPr>
          <w:p w14:paraId="58BFE21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F9F9F"/>
            <w:vAlign w:val="center"/>
            <w:hideMark/>
          </w:tcPr>
          <w:p w14:paraId="5451478C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4D32B2BB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Strategy and Planning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2CFF86DA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1E527A5" w14:textId="1F6CFAAE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2F2EC59A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 xml:space="preserve">Provides strategic direction at an organizational level, and participates in steering or working groups </w:t>
            </w:r>
          </w:p>
        </w:tc>
      </w:tr>
      <w:tr w:rsidR="000E3A46" w:rsidRPr="000E3A46" w14:paraId="3FF72FCF" w14:textId="77777777" w:rsidTr="003C7C56">
        <w:trPr>
          <w:trHeight w:val="1533"/>
        </w:trPr>
        <w:tc>
          <w:tcPr>
            <w:tcW w:w="1757" w:type="dxa"/>
            <w:vMerge/>
            <w:vAlign w:val="center"/>
            <w:hideMark/>
          </w:tcPr>
          <w:p w14:paraId="56A1A3F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F9F9F"/>
            <w:vAlign w:val="center"/>
            <w:hideMark/>
          </w:tcPr>
          <w:p w14:paraId="121BB7F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6</w:t>
            </w:r>
          </w:p>
        </w:tc>
        <w:tc>
          <w:tcPr>
            <w:tcW w:w="1803" w:type="dxa"/>
            <w:shd w:val="clear" w:color="000000" w:fill="FF9F9F"/>
            <w:vAlign w:val="center"/>
            <w:hideMark/>
          </w:tcPr>
          <w:p w14:paraId="4C6D168F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Analysis and Decision-Making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10073CA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0AE77D6" w14:textId="07B43964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03803D1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 xml:space="preserve">Manages changing priorities, approves plans, delegates tasks where needed, and makes decisions that take into consideration relevant factors such as policy, resources, risks, and staff. </w:t>
            </w:r>
          </w:p>
        </w:tc>
      </w:tr>
    </w:tbl>
    <w:p w14:paraId="31B875E8" w14:textId="77777777" w:rsidR="003F34F3" w:rsidRDefault="003F34F3">
      <w:r>
        <w:br w:type="page"/>
      </w:r>
    </w:p>
    <w:tbl>
      <w:tblPr>
        <w:tblW w:w="10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57"/>
        <w:gridCol w:w="508"/>
        <w:gridCol w:w="1803"/>
        <w:gridCol w:w="1133"/>
        <w:gridCol w:w="1701"/>
        <w:gridCol w:w="3708"/>
      </w:tblGrid>
      <w:tr w:rsidR="000E3A46" w:rsidRPr="000E3A46" w14:paraId="0DBC1593" w14:textId="77777777" w:rsidTr="003C7C56">
        <w:trPr>
          <w:trHeight w:val="900"/>
        </w:trPr>
        <w:tc>
          <w:tcPr>
            <w:tcW w:w="1757" w:type="dxa"/>
            <w:vMerge w:val="restart"/>
            <w:shd w:val="clear" w:color="000000" w:fill="FDE469"/>
            <w:vAlign w:val="center"/>
            <w:hideMark/>
          </w:tcPr>
          <w:p w14:paraId="08F1F710" w14:textId="69F9DDA2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Communications and Advocacy</w:t>
            </w:r>
          </w:p>
        </w:tc>
        <w:tc>
          <w:tcPr>
            <w:tcW w:w="508" w:type="dxa"/>
            <w:shd w:val="clear" w:color="000000" w:fill="FDE469"/>
            <w:vAlign w:val="center"/>
            <w:hideMark/>
          </w:tcPr>
          <w:p w14:paraId="459FD2A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7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1F60AF67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Effective Communication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5B35C361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8954C96" w14:textId="259BE38E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52A7E2FE" w14:textId="188C01CA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Communicates effectively to a broad range of audiences,</w:t>
            </w:r>
            <w:r w:rsidR="001261BB">
              <w:rPr>
                <w:rFonts w:ascii="Calibri" w:eastAsia="Times New Roman" w:hAnsi="Calibri" w:cs="Calibri"/>
                <w:color w:val="000000"/>
              </w:rPr>
              <w:t xml:space="preserve"> formally and </w:t>
            </w:r>
            <w:r w:rsidR="00527F7E">
              <w:rPr>
                <w:rFonts w:ascii="Calibri" w:eastAsia="Times New Roman" w:hAnsi="Calibri" w:cs="Calibri"/>
                <w:color w:val="000000"/>
              </w:rPr>
              <w:t>in</w:t>
            </w:r>
            <w:r w:rsidR="001261BB">
              <w:rPr>
                <w:rFonts w:ascii="Calibri" w:eastAsia="Times New Roman" w:hAnsi="Calibri" w:cs="Calibri"/>
                <w:color w:val="000000"/>
              </w:rPr>
              <w:t>formally,</w:t>
            </w:r>
            <w:r w:rsidRPr="000E3A46">
              <w:rPr>
                <w:rFonts w:ascii="Calibri" w:eastAsia="Times New Roman" w:hAnsi="Calibri" w:cs="Calibri"/>
                <w:color w:val="000000"/>
              </w:rPr>
              <w:t xml:space="preserve"> verbally and in written formats, including presentations, conference papers and publications</w:t>
            </w:r>
          </w:p>
        </w:tc>
      </w:tr>
      <w:tr w:rsidR="000E3A46" w:rsidRPr="000E3A46" w14:paraId="07B22A13" w14:textId="77777777" w:rsidTr="003C7C56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03946014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DE469"/>
            <w:vAlign w:val="center"/>
            <w:hideMark/>
          </w:tcPr>
          <w:p w14:paraId="6E36912A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8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3E6BF769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Collaboration and Teamwork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4EFF5A6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53CD4ED" w14:textId="76657129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79C14CF4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Liaises with a range of colleagues internal and external to the organization, identifies opportunities for collaboration with relevant external initiatives</w:t>
            </w:r>
          </w:p>
        </w:tc>
      </w:tr>
      <w:tr w:rsidR="000E3A46" w:rsidRPr="000E3A46" w14:paraId="184CE527" w14:textId="77777777" w:rsidTr="003C7C56">
        <w:trPr>
          <w:trHeight w:val="639"/>
        </w:trPr>
        <w:tc>
          <w:tcPr>
            <w:tcW w:w="1757" w:type="dxa"/>
            <w:vMerge/>
            <w:vAlign w:val="center"/>
            <w:hideMark/>
          </w:tcPr>
          <w:p w14:paraId="5904D113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DE469"/>
            <w:vAlign w:val="center"/>
            <w:hideMark/>
          </w:tcPr>
          <w:p w14:paraId="28D5AC4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9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283E181A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Stakeholder Analysis and Engagement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712F52CB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F881C2C" w14:textId="596C0432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63ADA983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Liaises and facilitates engagement with existing or prospective stakeholders, fosters partnerships and facilitates conversations to assist with stakeholder engagement</w:t>
            </w:r>
          </w:p>
        </w:tc>
      </w:tr>
      <w:tr w:rsidR="000E3A46" w:rsidRPr="000E3A46" w14:paraId="5F5C1695" w14:textId="77777777" w:rsidTr="003C7C56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58FFC57C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DE469"/>
            <w:vAlign w:val="center"/>
            <w:hideMark/>
          </w:tcPr>
          <w:p w14:paraId="6748085A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10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51754A86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User Analysis and Engagement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1BB8CAC0" w14:textId="57C1AC1D" w:rsidR="000E3A46" w:rsidRPr="000E3A46" w:rsidRDefault="001522D4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B46F9F3" w14:textId="53512B54" w:rsidR="000E3A46" w:rsidRPr="000E3A46" w:rsidRDefault="001522D4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0CEF9CB9" w14:textId="301706EA" w:rsidR="000E3A46" w:rsidRPr="000E3A46" w:rsidRDefault="001522D4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522D4">
              <w:rPr>
                <w:rFonts w:ascii="Calibri" w:eastAsia="Times New Roman" w:hAnsi="Calibri" w:cs="Calibri"/>
                <w:color w:val="000000"/>
              </w:rPr>
              <w:t>Recognizes the role of users and user needs in the context of an organization</w:t>
            </w:r>
          </w:p>
        </w:tc>
      </w:tr>
      <w:tr w:rsidR="000E3A46" w:rsidRPr="000E3A46" w14:paraId="4AD2727D" w14:textId="77777777" w:rsidTr="003C7C56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6ADB46D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DE469"/>
            <w:vAlign w:val="center"/>
            <w:hideMark/>
          </w:tcPr>
          <w:p w14:paraId="793A8C56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11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5626A96A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Advocacy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243E302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0CB4B67" w14:textId="2631DF88" w:rsidR="000E3A46" w:rsidRPr="000E3A46" w:rsidRDefault="00206AA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1218571B" w14:textId="055D2707" w:rsidR="000E3A46" w:rsidRPr="000E3A46" w:rsidRDefault="001261BB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Champions, a</w:t>
            </w:r>
            <w:r w:rsidR="000E3A46" w:rsidRPr="000E3A46">
              <w:rPr>
                <w:rFonts w:ascii="Calibri" w:eastAsia="Times New Roman" w:hAnsi="Calibri" w:cs="Calibri"/>
                <w:color w:val="000000"/>
              </w:rPr>
              <w:t>ligns and supports the aims of digital preservation with organizational policy landscape and strategic objectives</w:t>
            </w:r>
          </w:p>
        </w:tc>
      </w:tr>
      <w:tr w:rsidR="000E3A46" w:rsidRPr="000E3A46" w14:paraId="627C8396" w14:textId="77777777" w:rsidTr="003C7C56">
        <w:trPr>
          <w:trHeight w:val="300"/>
        </w:trPr>
        <w:tc>
          <w:tcPr>
            <w:tcW w:w="1757" w:type="dxa"/>
            <w:vMerge/>
            <w:vAlign w:val="center"/>
            <w:hideMark/>
          </w:tcPr>
          <w:p w14:paraId="067EF5ED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DE469"/>
            <w:vAlign w:val="center"/>
            <w:hideMark/>
          </w:tcPr>
          <w:p w14:paraId="4FAD2C0F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12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418026AC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Training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6C586B8C" w14:textId="12ECF9B0" w:rsidR="000E3A46" w:rsidRPr="000E3A46" w:rsidRDefault="001522D4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722DC9D" w14:textId="5328D540" w:rsidR="000E3A46" w:rsidRPr="000E3A46" w:rsidRDefault="001522D4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2F76252A" w14:textId="2866A35C" w:rsidR="000E3A46" w:rsidRPr="000E3A46" w:rsidRDefault="001522D4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522D4">
              <w:rPr>
                <w:rFonts w:ascii="Calibri" w:eastAsia="Times New Roman" w:hAnsi="Calibri" w:cs="Calibri"/>
                <w:color w:val="000000"/>
              </w:rPr>
              <w:t>Recognizes the need for training and development opportunities within the organization and how they may be effectively delivered</w:t>
            </w:r>
          </w:p>
        </w:tc>
      </w:tr>
      <w:tr w:rsidR="000E3A46" w:rsidRPr="000E3A46" w14:paraId="01DD3C53" w14:textId="77777777" w:rsidTr="003C7C56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5DD10EB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FDE469"/>
            <w:vAlign w:val="center"/>
            <w:hideMark/>
          </w:tcPr>
          <w:p w14:paraId="382DB082" w14:textId="77777777" w:rsidR="000E3A46" w:rsidRPr="000E3A46" w:rsidRDefault="000E3A46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13</w:t>
            </w:r>
          </w:p>
        </w:tc>
        <w:tc>
          <w:tcPr>
            <w:tcW w:w="1803" w:type="dxa"/>
            <w:shd w:val="clear" w:color="000000" w:fill="FDE469"/>
            <w:vAlign w:val="center"/>
            <w:hideMark/>
          </w:tcPr>
          <w:p w14:paraId="4BD95001" w14:textId="77777777" w:rsidR="000E3A46" w:rsidRPr="000E3A46" w:rsidRDefault="000E3A46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0E3A46">
              <w:rPr>
                <w:rFonts w:ascii="Calibri" w:eastAsia="Times New Roman" w:hAnsi="Calibri" w:cs="Calibri"/>
                <w:color w:val="000000"/>
              </w:rPr>
              <w:t>Producing Documentation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6ADF1BF7" w14:textId="67CD75F9" w:rsidR="000E3A46" w:rsidRPr="000E3A46" w:rsidRDefault="001522D4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C40B843" w14:textId="433005B2" w:rsidR="000E3A46" w:rsidRPr="000E3A46" w:rsidRDefault="001522D4" w:rsidP="000E3A46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29E99A9D" w14:textId="1DD4CEC5" w:rsidR="000E3A46" w:rsidRPr="000E3A46" w:rsidRDefault="001522D4" w:rsidP="000E3A46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522D4">
              <w:rPr>
                <w:rFonts w:ascii="Calibri" w:eastAsia="Times New Roman" w:hAnsi="Calibri" w:cs="Calibri"/>
                <w:color w:val="000000"/>
              </w:rPr>
              <w:t>Recognizes that effective digital preservation requires documenting the technologies and actions carried out on digital content</w:t>
            </w:r>
          </w:p>
        </w:tc>
      </w:tr>
      <w:tr w:rsidR="00B65414" w:rsidRPr="000E3A46" w14:paraId="4F1F0E48" w14:textId="77777777" w:rsidTr="003C7C56">
        <w:trPr>
          <w:trHeight w:val="300"/>
        </w:trPr>
        <w:tc>
          <w:tcPr>
            <w:tcW w:w="1757" w:type="dxa"/>
            <w:vMerge w:val="restart"/>
            <w:shd w:val="clear" w:color="000000" w:fill="A8D08D"/>
            <w:vAlign w:val="center"/>
            <w:hideMark/>
          </w:tcPr>
          <w:p w14:paraId="1F5FF3FA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Information Technology</w:t>
            </w:r>
          </w:p>
        </w:tc>
        <w:tc>
          <w:tcPr>
            <w:tcW w:w="508" w:type="dxa"/>
            <w:shd w:val="clear" w:color="000000" w:fill="A8D08D"/>
            <w:vAlign w:val="center"/>
            <w:hideMark/>
          </w:tcPr>
          <w:p w14:paraId="3F1F7DA9" w14:textId="5B754A8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3624A3F2" w14:textId="65DF2B6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General IT Literacy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36B255CE" w14:textId="5C5E406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2927FF9" w14:textId="60AAC3B9" w:rsidR="000022CE" w:rsidRPr="000E3A46" w:rsidRDefault="00206AA6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79445FE0" w14:textId="2D1C7C38" w:rsidR="000022CE" w:rsidRPr="000E3A46" w:rsidRDefault="00791229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Effectively uses and applies a range of software tools and systems and ability to liaise with IT colleagues</w:t>
            </w:r>
          </w:p>
        </w:tc>
      </w:tr>
      <w:tr w:rsidR="000022CE" w:rsidRPr="000E3A46" w14:paraId="478AB1FB" w14:textId="77777777" w:rsidTr="003C7C56">
        <w:trPr>
          <w:trHeight w:val="900"/>
        </w:trPr>
        <w:tc>
          <w:tcPr>
            <w:tcW w:w="1757" w:type="dxa"/>
            <w:vMerge/>
            <w:vAlign w:val="center"/>
          </w:tcPr>
          <w:p w14:paraId="633FBCAB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A8D08D"/>
            <w:vAlign w:val="center"/>
          </w:tcPr>
          <w:p w14:paraId="1F35D805" w14:textId="62A26F0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</w:t>
            </w:r>
          </w:p>
        </w:tc>
        <w:tc>
          <w:tcPr>
            <w:tcW w:w="1803" w:type="dxa"/>
            <w:shd w:val="clear" w:color="000000" w:fill="A8D08D"/>
            <w:vAlign w:val="center"/>
          </w:tcPr>
          <w:p w14:paraId="6FAD00DE" w14:textId="0C89C0C0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Computer Programming</w:t>
            </w:r>
          </w:p>
        </w:tc>
        <w:tc>
          <w:tcPr>
            <w:tcW w:w="1133" w:type="dxa"/>
            <w:shd w:val="clear" w:color="auto" w:fill="auto"/>
            <w:noWrap/>
            <w:vAlign w:val="center"/>
          </w:tcPr>
          <w:p w14:paraId="5B0748AC" w14:textId="1BB4467E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14:paraId="417BCA6C" w14:textId="2A00752F" w:rsidR="000022CE" w:rsidRPr="000E3A46" w:rsidRDefault="000E7502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shd w:val="clear" w:color="auto" w:fill="auto"/>
            <w:vAlign w:val="center"/>
          </w:tcPr>
          <w:p w14:paraId="45116634" w14:textId="33DEE881" w:rsidR="000022CE" w:rsidRPr="000E3A46" w:rsidRDefault="001261BB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Recognizes</w:t>
            </w:r>
            <w:r w:rsidR="000022CE">
              <w:rPr>
                <w:rFonts w:ascii="Calibri" w:hAnsi="Calibri" w:cs="Calibri"/>
                <w:color w:val="000000"/>
              </w:rPr>
              <w:t xml:space="preserve"> how </w:t>
            </w:r>
            <w:r>
              <w:rPr>
                <w:rFonts w:ascii="Calibri" w:hAnsi="Calibri" w:cs="Calibri"/>
                <w:color w:val="000000"/>
              </w:rPr>
              <w:t xml:space="preserve">the application of different </w:t>
            </w:r>
            <w:r w:rsidR="000022CE">
              <w:rPr>
                <w:rFonts w:ascii="Calibri" w:hAnsi="Calibri" w:cs="Calibri"/>
                <w:color w:val="000000"/>
              </w:rPr>
              <w:t xml:space="preserve">programming </w:t>
            </w:r>
            <w:r>
              <w:rPr>
                <w:rFonts w:ascii="Calibri" w:hAnsi="Calibri" w:cs="Calibri"/>
                <w:color w:val="000000"/>
              </w:rPr>
              <w:t xml:space="preserve">approaches and languages can be </w:t>
            </w:r>
            <w:r w:rsidR="000022CE">
              <w:rPr>
                <w:rFonts w:ascii="Calibri" w:hAnsi="Calibri" w:cs="Calibri"/>
                <w:color w:val="000000"/>
              </w:rPr>
              <w:t>used to support digital preservation</w:t>
            </w:r>
          </w:p>
        </w:tc>
      </w:tr>
      <w:tr w:rsidR="000022CE" w:rsidRPr="000E3A46" w14:paraId="57548B1A" w14:textId="77777777" w:rsidTr="003C7C56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7573CE5F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A8D08D"/>
            <w:vAlign w:val="center"/>
            <w:hideMark/>
          </w:tcPr>
          <w:p w14:paraId="76C11A21" w14:textId="0AF8051B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16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69145B7F" w14:textId="61FF3AA7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System Procurement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4D070C8D" w14:textId="3EDD19EE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27948E7" w14:textId="070B3C07" w:rsidR="000022CE" w:rsidRPr="000E3A46" w:rsidRDefault="00206AA6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21EE8AEE" w14:textId="572F7A79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Provides approval for procurement of systems and services, including documents such as an Invitation to Tender or a Request for Proposals, selection decisions, and contracts</w:t>
            </w:r>
          </w:p>
        </w:tc>
      </w:tr>
      <w:tr w:rsidR="00067020" w:rsidRPr="000E3A46" w14:paraId="2F7961A3" w14:textId="77777777" w:rsidTr="003C7C56">
        <w:trPr>
          <w:trHeight w:val="300"/>
        </w:trPr>
        <w:tc>
          <w:tcPr>
            <w:tcW w:w="1757" w:type="dxa"/>
            <w:vMerge/>
            <w:vAlign w:val="center"/>
            <w:hideMark/>
          </w:tcPr>
          <w:p w14:paraId="61693897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A8D08D"/>
            <w:vAlign w:val="center"/>
            <w:hideMark/>
          </w:tcPr>
          <w:p w14:paraId="1CACD206" w14:textId="17C4E8BD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2D01E980" w14:textId="32B0B00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Storage Infrastructures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3D67AB9E" w14:textId="16EEDBAB" w:rsidR="000022CE" w:rsidRPr="000E3A46" w:rsidRDefault="001522D4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D2F9740" w14:textId="600C0776" w:rsidR="000022CE" w:rsidRPr="000E3A46" w:rsidRDefault="001522D4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5CA5DB3" w14:textId="4CE419C9" w:rsidR="000022CE" w:rsidRPr="000E3A46" w:rsidRDefault="001522D4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522D4">
              <w:rPr>
                <w:rFonts w:ascii="Calibri" w:hAnsi="Calibri" w:cs="Calibri"/>
                <w:color w:val="000000"/>
              </w:rPr>
              <w:t>Recognizes common issues relating to storage media and back-ups, such as media failure, deterioration, damage, obsolescence</w:t>
            </w:r>
          </w:p>
        </w:tc>
      </w:tr>
      <w:tr w:rsidR="000022CE" w:rsidRPr="000E3A46" w14:paraId="0CBDF962" w14:textId="77777777" w:rsidTr="003C7C56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5EA37A3D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A8D08D"/>
            <w:vAlign w:val="center"/>
            <w:hideMark/>
          </w:tcPr>
          <w:p w14:paraId="40954FB3" w14:textId="713DCBD1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3B1F6231" w14:textId="07B5DF0A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Security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3E06B550" w14:textId="3D159A8C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2668ACB" w14:textId="5F90A012" w:rsidR="000022CE" w:rsidRPr="000E3A46" w:rsidRDefault="000E7502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52E74139" w14:textId="1CBCEA63" w:rsidR="000022CE" w:rsidRPr="000E3A46" w:rsidRDefault="001522D4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12657E">
              <w:rPr>
                <w:rFonts w:ascii="Calibri" w:hAnsi="Calibri" w:cs="Calibri"/>
                <w:color w:val="000000"/>
              </w:rPr>
              <w:t xml:space="preserve">amiliar with </w:t>
            </w:r>
            <w:r w:rsidR="000022CE">
              <w:rPr>
                <w:rFonts w:ascii="Calibri" w:hAnsi="Calibri" w:cs="Calibri"/>
                <w:color w:val="000000"/>
              </w:rPr>
              <w:t>the organization's information security requirements, and ensures those responsibilities are fulfilled</w:t>
            </w:r>
          </w:p>
        </w:tc>
      </w:tr>
      <w:tr w:rsidR="00067020" w:rsidRPr="000E3A46" w14:paraId="20E0B535" w14:textId="77777777" w:rsidTr="003C7C56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6F14D7A0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A8D08D"/>
            <w:vAlign w:val="center"/>
            <w:hideMark/>
          </w:tcPr>
          <w:p w14:paraId="0DA109B8" w14:textId="39CC86AA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</w:t>
            </w:r>
          </w:p>
        </w:tc>
        <w:tc>
          <w:tcPr>
            <w:tcW w:w="1803" w:type="dxa"/>
            <w:shd w:val="clear" w:color="000000" w:fill="A8D08D"/>
            <w:vAlign w:val="center"/>
            <w:hideMark/>
          </w:tcPr>
          <w:p w14:paraId="75FE7D3B" w14:textId="7F0288FF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Workflow Development and Implementation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3F1732C6" w14:textId="27166582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No</w:t>
            </w:r>
          </w:p>
        </w:tc>
        <w:tc>
          <w:tcPr>
            <w:tcW w:w="1701" w:type="dxa"/>
            <w:shd w:val="clear" w:color="000000" w:fill="D9D9D9"/>
            <w:noWrap/>
            <w:vAlign w:val="center"/>
            <w:hideMark/>
          </w:tcPr>
          <w:p w14:paraId="7803B6F5" w14:textId="65F87EDD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3708" w:type="dxa"/>
            <w:shd w:val="clear" w:color="000000" w:fill="D9D9D9"/>
            <w:vAlign w:val="center"/>
            <w:hideMark/>
          </w:tcPr>
          <w:p w14:paraId="418EDDD3" w14:textId="555C1AF2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067020" w:rsidRPr="000E3A46" w14:paraId="3F0B276E" w14:textId="77777777" w:rsidTr="003C7C56">
        <w:trPr>
          <w:trHeight w:val="900"/>
        </w:trPr>
        <w:tc>
          <w:tcPr>
            <w:tcW w:w="1757" w:type="dxa"/>
            <w:vMerge w:val="restart"/>
            <w:shd w:val="clear" w:color="000000" w:fill="9CC2E5"/>
            <w:vAlign w:val="center"/>
            <w:hideMark/>
          </w:tcPr>
          <w:p w14:paraId="679465A7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lastRenderedPageBreak/>
              <w:t>Legal and Social Responsibilities</w:t>
            </w:r>
          </w:p>
        </w:tc>
        <w:tc>
          <w:tcPr>
            <w:tcW w:w="508" w:type="dxa"/>
            <w:shd w:val="clear" w:color="000000" w:fill="9CC2E5"/>
            <w:vAlign w:val="center"/>
            <w:hideMark/>
          </w:tcPr>
          <w:p w14:paraId="430CA8BC" w14:textId="34248A81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57B211CE" w14:textId="1E588E6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Legal and Regulatory Compliance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6562000C" w14:textId="393822FD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BA8C1FE" w14:textId="0C1BAF1E" w:rsidR="000022CE" w:rsidRPr="000E3A46" w:rsidRDefault="00206AA6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14273439" w14:textId="05688AA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gramStart"/>
            <w:r>
              <w:rPr>
                <w:rFonts w:ascii="Calibri" w:hAnsi="Calibri" w:cs="Calibri"/>
                <w:color w:val="000000"/>
              </w:rPr>
              <w:t>Oversees</w:t>
            </w:r>
            <w:proofErr w:type="gramEnd"/>
            <w:r>
              <w:rPr>
                <w:rFonts w:ascii="Calibri" w:hAnsi="Calibri" w:cs="Calibri"/>
                <w:color w:val="000000"/>
              </w:rPr>
              <w:t xml:space="preserve"> and directs the implementation of policy for managing the organization's legal and regulatory compliance in relation to digital preservation</w:t>
            </w:r>
          </w:p>
        </w:tc>
      </w:tr>
      <w:tr w:rsidR="000022CE" w:rsidRPr="000E3A46" w14:paraId="1A2FC4E2" w14:textId="77777777" w:rsidTr="003C7C56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29F46DB2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9CC2E5"/>
            <w:vAlign w:val="center"/>
            <w:hideMark/>
          </w:tcPr>
          <w:p w14:paraId="21210B20" w14:textId="616AE328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0BB48CB7" w14:textId="011C3A76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Environmental Impact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288703E6" w14:textId="75FB4AFF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EAD69F7" w14:textId="2C8F8C60" w:rsidR="000022CE" w:rsidRPr="000E3A46" w:rsidRDefault="00206AA6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DC719A6" w14:textId="5C1A88AD" w:rsidR="000022CE" w:rsidRPr="000E3A46" w:rsidRDefault="0012657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Inputs to or leads on assessments of </w:t>
            </w:r>
            <w:r w:rsidR="000022CE">
              <w:rPr>
                <w:rFonts w:ascii="Calibri" w:hAnsi="Calibri" w:cs="Calibri"/>
                <w:color w:val="000000"/>
              </w:rPr>
              <w:t>financial and environmental costs of digital preservation, ensur</w:t>
            </w:r>
            <w:r>
              <w:rPr>
                <w:rFonts w:ascii="Calibri" w:hAnsi="Calibri" w:cs="Calibri"/>
                <w:color w:val="000000"/>
              </w:rPr>
              <w:t>ing</w:t>
            </w:r>
            <w:r w:rsidR="000022CE">
              <w:rPr>
                <w:rFonts w:ascii="Calibri" w:hAnsi="Calibri" w:cs="Calibri"/>
                <w:color w:val="000000"/>
              </w:rPr>
              <w:t xml:space="preserve"> an environmentally sustainable approach is adopted</w:t>
            </w:r>
          </w:p>
        </w:tc>
      </w:tr>
      <w:tr w:rsidR="000022CE" w:rsidRPr="000E3A46" w14:paraId="18315C2E" w14:textId="77777777" w:rsidTr="003C7C56">
        <w:trPr>
          <w:trHeight w:val="900"/>
        </w:trPr>
        <w:tc>
          <w:tcPr>
            <w:tcW w:w="1757" w:type="dxa"/>
            <w:vMerge/>
            <w:vAlign w:val="center"/>
            <w:hideMark/>
          </w:tcPr>
          <w:p w14:paraId="35A0C1D5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9CC2E5"/>
            <w:vAlign w:val="center"/>
            <w:hideMark/>
          </w:tcPr>
          <w:p w14:paraId="7338D6E7" w14:textId="1BE43BC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6699438B" w14:textId="1C67EC3F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Inclusion and Diversity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20C10D6E" w14:textId="5AAA8F68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92CF7F3" w14:textId="59018D6B" w:rsidR="000022CE" w:rsidRPr="000E3A46" w:rsidRDefault="00206AA6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Basic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D30E797" w14:textId="00FA300A" w:rsidR="000022CE" w:rsidRPr="000E3A46" w:rsidRDefault="0012657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Identifies </w:t>
            </w:r>
            <w:r w:rsidR="000022CE">
              <w:rPr>
                <w:rFonts w:ascii="Calibri" w:hAnsi="Calibri" w:cs="Calibri"/>
                <w:color w:val="000000"/>
              </w:rPr>
              <w:t>key inclusion and diversity issues and ensures the organization proactively addresses them. Supports and evaluates staff in a responsible, inclusive</w:t>
            </w:r>
            <w:r w:rsidR="00067020">
              <w:rPr>
                <w:rFonts w:ascii="Calibri" w:hAnsi="Calibri" w:cs="Calibri"/>
                <w:color w:val="000000"/>
              </w:rPr>
              <w:t>,</w:t>
            </w:r>
            <w:r w:rsidR="000022CE">
              <w:rPr>
                <w:rFonts w:ascii="Calibri" w:hAnsi="Calibri" w:cs="Calibri"/>
                <w:color w:val="000000"/>
              </w:rPr>
              <w:t xml:space="preserve"> and fair manner</w:t>
            </w:r>
          </w:p>
        </w:tc>
      </w:tr>
      <w:tr w:rsidR="000022CE" w:rsidRPr="000E3A46" w14:paraId="242B63DE" w14:textId="77777777" w:rsidTr="003C7C56">
        <w:trPr>
          <w:trHeight w:val="717"/>
        </w:trPr>
        <w:tc>
          <w:tcPr>
            <w:tcW w:w="1757" w:type="dxa"/>
            <w:vMerge/>
            <w:vAlign w:val="center"/>
            <w:hideMark/>
          </w:tcPr>
          <w:p w14:paraId="38AA1FC3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9CC2E5"/>
            <w:vAlign w:val="center"/>
            <w:hideMark/>
          </w:tcPr>
          <w:p w14:paraId="71914784" w14:textId="6934850E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803" w:type="dxa"/>
            <w:shd w:val="clear" w:color="000000" w:fill="9CC2E5"/>
            <w:vAlign w:val="center"/>
            <w:hideMark/>
          </w:tcPr>
          <w:p w14:paraId="6D717E53" w14:textId="466FE4CF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Ethics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36081B3B" w14:textId="011885E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009819E" w14:textId="4A32F9E7" w:rsidR="000022CE" w:rsidRPr="000E3A46" w:rsidRDefault="00206AA6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Advanced Application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7BE8CC6" w14:textId="6D85D83B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Ensures accountability and ethical approaches to professional conduct through the development and review of policy and procedures.</w:t>
            </w:r>
          </w:p>
        </w:tc>
      </w:tr>
      <w:tr w:rsidR="00067020" w:rsidRPr="000E3A46" w14:paraId="59E1E769" w14:textId="77777777" w:rsidTr="003C7C56">
        <w:trPr>
          <w:trHeight w:val="600"/>
        </w:trPr>
        <w:tc>
          <w:tcPr>
            <w:tcW w:w="1757" w:type="dxa"/>
            <w:vMerge w:val="restart"/>
            <w:shd w:val="clear" w:color="000000" w:fill="D3C5E5"/>
            <w:vAlign w:val="center"/>
            <w:hideMark/>
          </w:tcPr>
          <w:p w14:paraId="2FA3109E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0E3A46">
              <w:rPr>
                <w:rFonts w:ascii="Calibri" w:eastAsia="Times New Roman" w:hAnsi="Calibri" w:cs="Calibri"/>
                <w:b/>
                <w:bCs/>
                <w:color w:val="000000"/>
              </w:rPr>
              <w:t>Digital Preservation Domain Specific</w:t>
            </w:r>
          </w:p>
        </w:tc>
        <w:tc>
          <w:tcPr>
            <w:tcW w:w="508" w:type="dxa"/>
            <w:shd w:val="clear" w:color="000000" w:fill="D3C5E5"/>
            <w:vAlign w:val="center"/>
            <w:hideMark/>
          </w:tcPr>
          <w:p w14:paraId="1DC1567E" w14:textId="26F46D4F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24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1D1FD221" w14:textId="7699D2F9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Metadata Standards and Implementation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68CCF1DC" w14:textId="64E37AB4" w:rsidR="000022CE" w:rsidRPr="000E3A46" w:rsidRDefault="008C419F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96775C4" w14:textId="105AEE15" w:rsidR="000022CE" w:rsidRPr="000E3A46" w:rsidRDefault="008C419F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Awareness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11DA8CF" w14:textId="78D2C0E5" w:rsidR="000022CE" w:rsidRPr="000E3A46" w:rsidRDefault="008C419F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8C419F">
              <w:rPr>
                <w:rFonts w:ascii="Calibri" w:hAnsi="Calibri" w:cs="Calibri"/>
                <w:color w:val="000000"/>
              </w:rPr>
              <w:t xml:space="preserve">Recognizes the need for selection and implementation of appropriate metadata standards for the management, </w:t>
            </w:r>
            <w:r>
              <w:rPr>
                <w:rFonts w:ascii="Calibri" w:hAnsi="Calibri" w:cs="Calibri"/>
                <w:color w:val="000000"/>
              </w:rPr>
              <w:t>preservation</w:t>
            </w:r>
            <w:r w:rsidRPr="008C419F">
              <w:rPr>
                <w:rFonts w:ascii="Calibri" w:hAnsi="Calibri" w:cs="Calibri"/>
                <w:color w:val="000000"/>
              </w:rPr>
              <w:t xml:space="preserve"> and access to digital content at the organization</w:t>
            </w:r>
          </w:p>
        </w:tc>
      </w:tr>
      <w:tr w:rsidR="000022CE" w:rsidRPr="000E3A46" w14:paraId="061297FF" w14:textId="77777777" w:rsidTr="003C7C56">
        <w:trPr>
          <w:trHeight w:val="600"/>
        </w:trPr>
        <w:tc>
          <w:tcPr>
            <w:tcW w:w="1757" w:type="dxa"/>
            <w:vMerge/>
            <w:vAlign w:val="center"/>
            <w:hideMark/>
          </w:tcPr>
          <w:p w14:paraId="4A779BA8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D3C5E5"/>
            <w:vAlign w:val="center"/>
            <w:hideMark/>
          </w:tcPr>
          <w:p w14:paraId="699B672D" w14:textId="7F04FE63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25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09D21FD0" w14:textId="7F46535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Information Management Principles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5D1B28B5" w14:textId="752A91E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5F57FCB" w14:textId="36DEC9AA" w:rsidR="000022CE" w:rsidRPr="000E3A46" w:rsidRDefault="000E7502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663478FE" w14:textId="027A4BEC" w:rsidR="000022CE" w:rsidRPr="000E3A46" w:rsidRDefault="009D56D9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</w:t>
            </w:r>
            <w:r w:rsidR="0012657E">
              <w:rPr>
                <w:rFonts w:ascii="Calibri" w:hAnsi="Calibri" w:cs="Calibri"/>
                <w:color w:val="000000"/>
              </w:rPr>
              <w:t xml:space="preserve">amiliar with key </w:t>
            </w:r>
            <w:r w:rsidR="000022CE">
              <w:rPr>
                <w:rFonts w:ascii="Calibri" w:hAnsi="Calibri" w:cs="Calibri"/>
                <w:color w:val="000000"/>
              </w:rPr>
              <w:t>information management principles</w:t>
            </w:r>
            <w:r w:rsidR="0012657E">
              <w:rPr>
                <w:rFonts w:ascii="Calibri" w:hAnsi="Calibri" w:cs="Calibri"/>
                <w:color w:val="000000"/>
              </w:rPr>
              <w:t xml:space="preserve"> such as integrity, reliability, authenticity, and usability, </w:t>
            </w:r>
            <w:r>
              <w:rPr>
                <w:rFonts w:ascii="Calibri" w:hAnsi="Calibri" w:cs="Calibri"/>
                <w:color w:val="000000"/>
              </w:rPr>
              <w:t xml:space="preserve">and how they are managed during digital preservation activities </w:t>
            </w:r>
          </w:p>
        </w:tc>
      </w:tr>
      <w:tr w:rsidR="000022CE" w:rsidRPr="000E3A46" w14:paraId="60FD0A67" w14:textId="77777777" w:rsidTr="003C7C56">
        <w:trPr>
          <w:trHeight w:val="441"/>
        </w:trPr>
        <w:tc>
          <w:tcPr>
            <w:tcW w:w="1757" w:type="dxa"/>
            <w:vMerge/>
            <w:vAlign w:val="center"/>
            <w:hideMark/>
          </w:tcPr>
          <w:p w14:paraId="125DBE72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D3C5E5"/>
            <w:vAlign w:val="center"/>
            <w:hideMark/>
          </w:tcPr>
          <w:p w14:paraId="315FE6B8" w14:textId="703C3495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4722E960" w14:textId="130FE6A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Approaches to Preservation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215FDB1F" w14:textId="3E28272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5660688" w14:textId="7A1A5E0A" w:rsidR="000022CE" w:rsidRPr="000E3A46" w:rsidRDefault="000E7502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66157A2D" w14:textId="59FC9028" w:rsidR="000022CE" w:rsidRPr="000E3A46" w:rsidRDefault="009D56D9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organizational approaches and key methodologies for the preservation of digital content</w:t>
            </w:r>
          </w:p>
        </w:tc>
      </w:tr>
      <w:tr w:rsidR="000022CE" w:rsidRPr="000E3A46" w14:paraId="3748A847" w14:textId="77777777" w:rsidTr="003C7C56">
        <w:trPr>
          <w:trHeight w:val="300"/>
        </w:trPr>
        <w:tc>
          <w:tcPr>
            <w:tcW w:w="1757" w:type="dxa"/>
            <w:vMerge/>
            <w:vAlign w:val="center"/>
            <w:hideMark/>
          </w:tcPr>
          <w:p w14:paraId="66850D7F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D3C5E5"/>
            <w:vAlign w:val="center"/>
            <w:hideMark/>
          </w:tcPr>
          <w:p w14:paraId="1963B98D" w14:textId="5B4233FA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21D205BB" w14:textId="095E2F84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DP Standards and Models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1132908E" w14:textId="3E3093DB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BE06536" w14:textId="7F95A13A" w:rsidR="000022CE" w:rsidRPr="000E3A46" w:rsidRDefault="000E7502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4A97A959" w14:textId="3D2B1CA7" w:rsidR="000022CE" w:rsidRPr="000E3A46" w:rsidRDefault="009D56D9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Familiar with organizational approaches and key methodologies for the preservation of digital content</w:t>
            </w:r>
          </w:p>
        </w:tc>
      </w:tr>
      <w:tr w:rsidR="00067020" w:rsidRPr="000E3A46" w14:paraId="0C19F110" w14:textId="77777777" w:rsidTr="003C7C56">
        <w:trPr>
          <w:trHeight w:val="300"/>
        </w:trPr>
        <w:tc>
          <w:tcPr>
            <w:tcW w:w="1757" w:type="dxa"/>
            <w:vMerge/>
            <w:vAlign w:val="center"/>
            <w:hideMark/>
          </w:tcPr>
          <w:p w14:paraId="796C89AD" w14:textId="77777777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508" w:type="dxa"/>
            <w:shd w:val="clear" w:color="000000" w:fill="D3C5E5"/>
            <w:vAlign w:val="center"/>
            <w:hideMark/>
          </w:tcPr>
          <w:p w14:paraId="53EAA28A" w14:textId="670D370C" w:rsidR="000022CE" w:rsidRPr="000E3A46" w:rsidRDefault="000022CE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</w:t>
            </w:r>
          </w:p>
        </w:tc>
        <w:tc>
          <w:tcPr>
            <w:tcW w:w="1803" w:type="dxa"/>
            <w:shd w:val="clear" w:color="000000" w:fill="D3C5E5"/>
            <w:vAlign w:val="center"/>
            <w:hideMark/>
          </w:tcPr>
          <w:p w14:paraId="6B6A692A" w14:textId="51816221" w:rsidR="000022CE" w:rsidRPr="000E3A46" w:rsidRDefault="000022CE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Managing Access</w:t>
            </w:r>
          </w:p>
        </w:tc>
        <w:tc>
          <w:tcPr>
            <w:tcW w:w="1133" w:type="dxa"/>
            <w:shd w:val="clear" w:color="auto" w:fill="auto"/>
            <w:noWrap/>
            <w:vAlign w:val="center"/>
            <w:hideMark/>
          </w:tcPr>
          <w:p w14:paraId="6C5152B6" w14:textId="70035DFD" w:rsidR="000022CE" w:rsidRPr="000E3A46" w:rsidRDefault="008C419F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Yes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6DF0409" w14:textId="549C16C6" w:rsidR="000022CE" w:rsidRPr="000E3A46" w:rsidRDefault="008C419F" w:rsidP="000022CE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Understanding</w:t>
            </w:r>
          </w:p>
        </w:tc>
        <w:tc>
          <w:tcPr>
            <w:tcW w:w="3708" w:type="dxa"/>
            <w:shd w:val="clear" w:color="auto" w:fill="auto"/>
            <w:vAlign w:val="center"/>
            <w:hideMark/>
          </w:tcPr>
          <w:p w14:paraId="34AA80BF" w14:textId="168CC57A" w:rsidR="000022CE" w:rsidRPr="000E3A46" w:rsidRDefault="008C419F" w:rsidP="000022CE">
            <w:pPr>
              <w:spacing w:line="240" w:lineRule="auto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Supports the provision of access to digital content</w:t>
            </w:r>
          </w:p>
        </w:tc>
      </w:tr>
    </w:tbl>
    <w:p w14:paraId="035E700F" w14:textId="77777777" w:rsidR="00C814F9" w:rsidRPr="00C814F9" w:rsidRDefault="00C814F9" w:rsidP="000E3A46"/>
    <w:sectPr w:rsidR="00C814F9" w:rsidRPr="00C814F9" w:rsidSect="001A7902">
      <w:headerReference w:type="default" r:id="rId8"/>
      <w:pgSz w:w="11906" w:h="16838"/>
      <w:pgMar w:top="130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BE2B57" w14:textId="77777777" w:rsidR="0050335A" w:rsidRDefault="0050335A" w:rsidP="00C814F9">
      <w:pPr>
        <w:spacing w:line="240" w:lineRule="auto"/>
      </w:pPr>
      <w:r>
        <w:separator/>
      </w:r>
    </w:p>
  </w:endnote>
  <w:endnote w:type="continuationSeparator" w:id="0">
    <w:p w14:paraId="3F12E5F2" w14:textId="77777777" w:rsidR="0050335A" w:rsidRDefault="0050335A" w:rsidP="00C814F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DE58A6" w14:textId="77777777" w:rsidR="0050335A" w:rsidRDefault="0050335A" w:rsidP="00C814F9">
      <w:pPr>
        <w:spacing w:line="240" w:lineRule="auto"/>
      </w:pPr>
      <w:r>
        <w:separator/>
      </w:r>
    </w:p>
  </w:footnote>
  <w:footnote w:type="continuationSeparator" w:id="0">
    <w:p w14:paraId="70DFD344" w14:textId="77777777" w:rsidR="0050335A" w:rsidRDefault="0050335A" w:rsidP="00C814F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2DA70" w14:textId="0FA49AAD" w:rsidR="001A7902" w:rsidRDefault="001A7902" w:rsidP="001A7902">
    <w:pPr>
      <w:pStyle w:val="Header"/>
      <w:jc w:val="right"/>
    </w:pPr>
    <w:r>
      <w:rPr>
        <w:noProof/>
      </w:rPr>
      <w:drawing>
        <wp:inline distT="0" distB="0" distL="0" distR="0" wp14:anchorId="38CEA1D6" wp14:editId="35C74ED8">
          <wp:extent cx="1905000" cy="419100"/>
          <wp:effectExtent l="0" t="0" r="0" b="0"/>
          <wp:docPr id="1" name="Picture 1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42066"/>
    <w:multiLevelType w:val="hybridMultilevel"/>
    <w:tmpl w:val="3EEC77E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880C14"/>
    <w:multiLevelType w:val="multilevel"/>
    <w:tmpl w:val="D6C4BA72"/>
    <w:lvl w:ilvl="0">
      <w:start w:val="1"/>
      <w:numFmt w:val="decimal"/>
      <w:pStyle w:val="Heading1"/>
      <w:suff w:val="space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2" w15:restartNumberingAfterBreak="0">
    <w:nsid w:val="49656A20"/>
    <w:multiLevelType w:val="hybridMultilevel"/>
    <w:tmpl w:val="F6966312"/>
    <w:lvl w:ilvl="0" w:tplc="6D7821B6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2505DF3"/>
    <w:multiLevelType w:val="multilevel"/>
    <w:tmpl w:val="445C09E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397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 w16cid:durableId="2099331048">
    <w:abstractNumId w:val="2"/>
  </w:num>
  <w:num w:numId="2" w16cid:durableId="1876963029">
    <w:abstractNumId w:val="2"/>
  </w:num>
  <w:num w:numId="3" w16cid:durableId="106699708">
    <w:abstractNumId w:val="3"/>
  </w:num>
  <w:num w:numId="4" w16cid:durableId="24410052">
    <w:abstractNumId w:val="3"/>
  </w:num>
  <w:num w:numId="5" w16cid:durableId="2041469792">
    <w:abstractNumId w:val="3"/>
  </w:num>
  <w:num w:numId="6" w16cid:durableId="26102583">
    <w:abstractNumId w:val="1"/>
  </w:num>
  <w:num w:numId="7" w16cid:durableId="738481872">
    <w:abstractNumId w:val="3"/>
  </w:num>
  <w:num w:numId="8" w16cid:durableId="1557398436">
    <w:abstractNumId w:val="1"/>
  </w:num>
  <w:num w:numId="9" w16cid:durableId="2014215686">
    <w:abstractNumId w:val="1"/>
  </w:num>
  <w:num w:numId="10" w16cid:durableId="1420978069">
    <w:abstractNumId w:val="1"/>
  </w:num>
  <w:num w:numId="11" w16cid:durableId="2037190576">
    <w:abstractNumId w:val="1"/>
  </w:num>
  <w:num w:numId="12" w16cid:durableId="1374425295">
    <w:abstractNumId w:val="1"/>
  </w:num>
  <w:num w:numId="13" w16cid:durableId="390884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azMDC0MDE3MDQyNjNS0lEKTi0uzszPAykwrAUAzOOFYywAAAA="/>
  </w:docVars>
  <w:rsids>
    <w:rsidRoot w:val="00C814F9"/>
    <w:rsid w:val="000022CE"/>
    <w:rsid w:val="00032551"/>
    <w:rsid w:val="00044854"/>
    <w:rsid w:val="00067020"/>
    <w:rsid w:val="00073AC1"/>
    <w:rsid w:val="00075796"/>
    <w:rsid w:val="000E3A46"/>
    <w:rsid w:val="000E7502"/>
    <w:rsid w:val="00120AA5"/>
    <w:rsid w:val="001261BB"/>
    <w:rsid w:val="0012657E"/>
    <w:rsid w:val="001522D4"/>
    <w:rsid w:val="001A7902"/>
    <w:rsid w:val="001A7C50"/>
    <w:rsid w:val="002022EC"/>
    <w:rsid w:val="00206AA6"/>
    <w:rsid w:val="0027090A"/>
    <w:rsid w:val="00283CB9"/>
    <w:rsid w:val="00285AFE"/>
    <w:rsid w:val="002C39A6"/>
    <w:rsid w:val="003113E6"/>
    <w:rsid w:val="00335DCB"/>
    <w:rsid w:val="00342A89"/>
    <w:rsid w:val="00350204"/>
    <w:rsid w:val="00380344"/>
    <w:rsid w:val="003A7D7E"/>
    <w:rsid w:val="003B7019"/>
    <w:rsid w:val="003C7C56"/>
    <w:rsid w:val="003F34F3"/>
    <w:rsid w:val="003F6EFA"/>
    <w:rsid w:val="00433466"/>
    <w:rsid w:val="00435E13"/>
    <w:rsid w:val="00452125"/>
    <w:rsid w:val="00484B5B"/>
    <w:rsid w:val="004A2867"/>
    <w:rsid w:val="004C4BAE"/>
    <w:rsid w:val="0050335A"/>
    <w:rsid w:val="0051077F"/>
    <w:rsid w:val="005224C0"/>
    <w:rsid w:val="00527F7E"/>
    <w:rsid w:val="00530C27"/>
    <w:rsid w:val="005550F8"/>
    <w:rsid w:val="005A3CD4"/>
    <w:rsid w:val="005F4568"/>
    <w:rsid w:val="006D0715"/>
    <w:rsid w:val="00743F28"/>
    <w:rsid w:val="00753A3B"/>
    <w:rsid w:val="00764155"/>
    <w:rsid w:val="00790071"/>
    <w:rsid w:val="00791229"/>
    <w:rsid w:val="007A02A8"/>
    <w:rsid w:val="007C2784"/>
    <w:rsid w:val="007C2B55"/>
    <w:rsid w:val="007E34CB"/>
    <w:rsid w:val="008609D2"/>
    <w:rsid w:val="008A316E"/>
    <w:rsid w:val="008A6AF9"/>
    <w:rsid w:val="008B20D8"/>
    <w:rsid w:val="008C419F"/>
    <w:rsid w:val="008C4533"/>
    <w:rsid w:val="00903DA2"/>
    <w:rsid w:val="00907E69"/>
    <w:rsid w:val="009660E2"/>
    <w:rsid w:val="00974AED"/>
    <w:rsid w:val="009A6CBD"/>
    <w:rsid w:val="009D56D9"/>
    <w:rsid w:val="00AD37A5"/>
    <w:rsid w:val="00B53250"/>
    <w:rsid w:val="00B638E7"/>
    <w:rsid w:val="00B65414"/>
    <w:rsid w:val="00B804E6"/>
    <w:rsid w:val="00BE587C"/>
    <w:rsid w:val="00C25E3E"/>
    <w:rsid w:val="00C80568"/>
    <w:rsid w:val="00C814F9"/>
    <w:rsid w:val="00CB08E4"/>
    <w:rsid w:val="00CD5BEC"/>
    <w:rsid w:val="00CD6FC9"/>
    <w:rsid w:val="00CF16CE"/>
    <w:rsid w:val="00D11699"/>
    <w:rsid w:val="00D117C6"/>
    <w:rsid w:val="00D23A14"/>
    <w:rsid w:val="00D65BE4"/>
    <w:rsid w:val="00D74881"/>
    <w:rsid w:val="00D834B2"/>
    <w:rsid w:val="00D94967"/>
    <w:rsid w:val="00D976DE"/>
    <w:rsid w:val="00DA27C6"/>
    <w:rsid w:val="00DB381C"/>
    <w:rsid w:val="00DD3FBE"/>
    <w:rsid w:val="00E4386D"/>
    <w:rsid w:val="00E45802"/>
    <w:rsid w:val="00E83FB9"/>
    <w:rsid w:val="00F1038A"/>
    <w:rsid w:val="00F22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87DA386"/>
  <w15:chartTrackingRefBased/>
  <w15:docId w15:val="{30099F3E-FB97-40C8-A576-FB506C66CA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3250"/>
    <w:pPr>
      <w:spacing w:after="0"/>
    </w:pPr>
    <w:rPr>
      <w:rFonts w:ascii="Open Sans" w:hAnsi="Open Sans"/>
      <w:color w:val="595959" w:themeColor="text1" w:themeTint="A6"/>
    </w:rPr>
  </w:style>
  <w:style w:type="paragraph" w:styleId="Heading1">
    <w:name w:val="heading 1"/>
    <w:basedOn w:val="Normal"/>
    <w:next w:val="Normal"/>
    <w:link w:val="Heading1Char"/>
    <w:uiPriority w:val="9"/>
    <w:qFormat/>
    <w:rsid w:val="00E83FB9"/>
    <w:pPr>
      <w:keepNext/>
      <w:keepLines/>
      <w:numPr>
        <w:numId w:val="13"/>
      </w:numPr>
      <w:spacing w:before="480" w:after="240"/>
      <w:outlineLvl w:val="0"/>
    </w:pPr>
    <w:rPr>
      <w:rFonts w:eastAsiaTheme="majorEastAsia" w:cstheme="majorBidi"/>
      <w:b/>
      <w:color w:val="038C73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83FB9"/>
    <w:pPr>
      <w:keepNext/>
      <w:keepLines/>
      <w:numPr>
        <w:ilvl w:val="1"/>
        <w:numId w:val="10"/>
      </w:numPr>
      <w:spacing w:before="360" w:after="120" w:line="240" w:lineRule="auto"/>
      <w:outlineLvl w:val="1"/>
    </w:pPr>
    <w:rPr>
      <w:rFonts w:eastAsiaTheme="majorEastAsia" w:cstheme="majorBidi"/>
      <w:b/>
      <w:color w:val="058C73"/>
      <w:sz w:val="24"/>
      <w:szCs w:val="26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83FB9"/>
    <w:pPr>
      <w:numPr>
        <w:ilvl w:val="2"/>
        <w:numId w:val="13"/>
      </w:numPr>
      <w:spacing w:before="40"/>
      <w:outlineLvl w:val="2"/>
    </w:pPr>
    <w:rPr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1077F"/>
    <w:pPr>
      <w:spacing w:before="240" w:line="240" w:lineRule="auto"/>
      <w:contextualSpacing/>
    </w:pPr>
    <w:rPr>
      <w:rFonts w:eastAsiaTheme="majorEastAsia" w:cstheme="majorBidi"/>
      <w:color w:val="038C73"/>
      <w:spacing w:val="-10"/>
      <w:kern w:val="28"/>
      <w:sz w:val="48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1077F"/>
    <w:rPr>
      <w:rFonts w:ascii="Open Sans" w:eastAsiaTheme="majorEastAsia" w:hAnsi="Open Sans" w:cstheme="majorBidi"/>
      <w:color w:val="038C73"/>
      <w:spacing w:val="-10"/>
      <w:kern w:val="28"/>
      <w:sz w:val="48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1077F"/>
    <w:pPr>
      <w:numPr>
        <w:ilvl w:val="1"/>
      </w:numPr>
      <w:spacing w:after="360"/>
    </w:pPr>
    <w:rPr>
      <w:rFonts w:eastAsiaTheme="minorEastAsia"/>
      <w:b/>
      <w:color w:val="5A5A5A" w:themeColor="text1" w:themeTint="A5"/>
      <w:spacing w:val="15"/>
      <w:sz w:val="32"/>
    </w:rPr>
  </w:style>
  <w:style w:type="character" w:customStyle="1" w:styleId="SubtitleChar">
    <w:name w:val="Subtitle Char"/>
    <w:basedOn w:val="DefaultParagraphFont"/>
    <w:link w:val="Subtitle"/>
    <w:uiPriority w:val="11"/>
    <w:rsid w:val="0051077F"/>
    <w:rPr>
      <w:rFonts w:ascii="Open Sans" w:eastAsiaTheme="minorEastAsia" w:hAnsi="Open Sans"/>
      <w:b/>
      <w:color w:val="5A5A5A" w:themeColor="text1" w:themeTint="A5"/>
      <w:spacing w:val="15"/>
      <w:sz w:val="32"/>
    </w:rPr>
  </w:style>
  <w:style w:type="character" w:customStyle="1" w:styleId="Heading1Char">
    <w:name w:val="Heading 1 Char"/>
    <w:basedOn w:val="DefaultParagraphFont"/>
    <w:link w:val="Heading1"/>
    <w:uiPriority w:val="9"/>
    <w:rsid w:val="00D834B2"/>
    <w:rPr>
      <w:rFonts w:ascii="Open Sans" w:eastAsiaTheme="majorEastAsia" w:hAnsi="Open Sans" w:cstheme="majorBidi"/>
      <w:b/>
      <w:color w:val="038C73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83FB9"/>
    <w:rPr>
      <w:rFonts w:ascii="Open Sans" w:eastAsiaTheme="majorEastAsia" w:hAnsi="Open Sans" w:cstheme="majorBidi"/>
      <w:b/>
      <w:color w:val="058C73"/>
      <w:sz w:val="24"/>
      <w:szCs w:val="26"/>
    </w:rPr>
  </w:style>
  <w:style w:type="paragraph" w:styleId="ListParagraph">
    <w:name w:val="List Paragraph"/>
    <w:basedOn w:val="Normal"/>
    <w:uiPriority w:val="34"/>
    <w:qFormat/>
    <w:rsid w:val="00DA27C6"/>
    <w:pPr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E83FB9"/>
    <w:rPr>
      <w:rFonts w:ascii="Open Sans" w:eastAsiaTheme="majorEastAsia" w:hAnsi="Open Sans" w:cstheme="majorBidi"/>
      <w:b/>
      <w:color w:val="058C73"/>
      <w:szCs w:val="24"/>
    </w:rPr>
  </w:style>
  <w:style w:type="paragraph" w:styleId="Header">
    <w:name w:val="header"/>
    <w:basedOn w:val="Normal"/>
    <w:link w:val="Head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14F9"/>
    <w:rPr>
      <w:rFonts w:ascii="Open Sans" w:hAnsi="Open Sans"/>
      <w:color w:val="595959" w:themeColor="text1" w:themeTint="A6"/>
    </w:rPr>
  </w:style>
  <w:style w:type="paragraph" w:styleId="Footer">
    <w:name w:val="footer"/>
    <w:basedOn w:val="Normal"/>
    <w:link w:val="FooterChar"/>
    <w:uiPriority w:val="99"/>
    <w:unhideWhenUsed/>
    <w:rsid w:val="00C814F9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14F9"/>
    <w:rPr>
      <w:rFonts w:ascii="Open Sans" w:hAnsi="Open Sans"/>
      <w:color w:val="595959" w:themeColor="text1" w:themeTint="A6"/>
    </w:rPr>
  </w:style>
  <w:style w:type="paragraph" w:styleId="Revision">
    <w:name w:val="Revision"/>
    <w:hidden/>
    <w:uiPriority w:val="99"/>
    <w:semiHidden/>
    <w:rsid w:val="000E7502"/>
    <w:pPr>
      <w:spacing w:after="0" w:line="240" w:lineRule="auto"/>
    </w:pPr>
    <w:rPr>
      <w:rFonts w:ascii="Open Sans" w:hAnsi="Open Sans"/>
      <w:color w:val="595959" w:themeColor="text1" w:themeTint="A6"/>
    </w:rPr>
  </w:style>
  <w:style w:type="character" w:styleId="CommentReference">
    <w:name w:val="annotation reference"/>
    <w:basedOn w:val="DefaultParagraphFont"/>
    <w:uiPriority w:val="99"/>
    <w:semiHidden/>
    <w:unhideWhenUsed/>
    <w:rsid w:val="000E75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E75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E7502"/>
    <w:rPr>
      <w:rFonts w:ascii="Open Sans" w:hAnsi="Open Sans"/>
      <w:color w:val="595959" w:themeColor="text1" w:themeTint="A6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75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7502"/>
    <w:rPr>
      <w:rFonts w:ascii="Open Sans" w:hAnsi="Open Sans"/>
      <w:b/>
      <w:bCs/>
      <w:color w:val="595959" w:themeColor="text1" w:themeTint="A6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251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6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56EB2A-01CE-45AA-9FF6-77E0643FE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785</Words>
  <Characters>5038</Characters>
  <Application>Microsoft Office Word</Application>
  <DocSecurity>0</DocSecurity>
  <Lines>325</Lines>
  <Paragraphs>153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McMeekin</dc:creator>
  <cp:keywords/>
  <dc:description/>
  <cp:lastModifiedBy>Amy Currie</cp:lastModifiedBy>
  <cp:revision>9</cp:revision>
  <dcterms:created xsi:type="dcterms:W3CDTF">2025-03-28T12:18:00Z</dcterms:created>
  <dcterms:modified xsi:type="dcterms:W3CDTF">2025-06-06T10:53:00Z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738f025ef454ff483666115975a8c50afcdf90e08975a70194ad1fd8891ceb7c</vt:lpwstr>
  </property>
</Properties>
</file>