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523E97" w14:textId="793BAB07" w:rsidR="008A6AF9" w:rsidRDefault="00C814F9" w:rsidP="00C814F9">
      <w:pPr>
        <w:pStyle w:val="Title"/>
      </w:pPr>
      <w:r>
        <w:t>Example Role Description: Graduate</w:t>
      </w:r>
    </w:p>
    <w:p w14:paraId="011D1858" w14:textId="543B918E" w:rsidR="00484B5B" w:rsidRDefault="00484B5B" w:rsidP="00484B5B"/>
    <w:p w14:paraId="0C4BC729" w14:textId="1B1FD22C" w:rsidR="00484B5B" w:rsidRDefault="00484B5B" w:rsidP="00484B5B">
      <w:r>
        <w:t xml:space="preserve">The following table provides an example of a role description developed using the DPC’s Competency Framework. The role description </w:t>
      </w:r>
      <w:r w:rsidR="00576B55">
        <w:t xml:space="preserve">presents </w:t>
      </w:r>
      <w:r>
        <w:t>the competencies a student from an Information Studies program</w:t>
      </w:r>
      <w:r w:rsidR="001A7902">
        <w:t>,</w:t>
      </w:r>
      <w:r>
        <w:t xml:space="preserve"> that covers digital preservation</w:t>
      </w:r>
      <w:r w:rsidR="001A7902">
        <w:t>,</w:t>
      </w:r>
      <w:r>
        <w:t xml:space="preserve"> might be expected to have </w:t>
      </w:r>
      <w:r w:rsidR="00576B55">
        <w:t>up</w:t>
      </w:r>
      <w:r>
        <w:t>on completion of the course.</w:t>
      </w:r>
    </w:p>
    <w:p w14:paraId="788E1FE3" w14:textId="77777777" w:rsidR="008C4533" w:rsidRPr="00484B5B" w:rsidRDefault="008C4533" w:rsidP="00484B5B"/>
    <w:p w14:paraId="46AAA852" w14:textId="1C083ED0" w:rsidR="00C814F9" w:rsidRDefault="00C814F9" w:rsidP="00C814F9"/>
    <w:tbl>
      <w:tblPr>
        <w:tblW w:w="5000" w:type="pct"/>
        <w:tblLook w:val="04A0" w:firstRow="1" w:lastRow="0" w:firstColumn="1" w:lastColumn="0" w:noHBand="0" w:noVBand="1"/>
      </w:tblPr>
      <w:tblGrid>
        <w:gridCol w:w="1755"/>
        <w:gridCol w:w="440"/>
        <w:gridCol w:w="1658"/>
        <w:gridCol w:w="1023"/>
        <w:gridCol w:w="1387"/>
        <w:gridCol w:w="4193"/>
      </w:tblGrid>
      <w:tr w:rsidR="001D46C3" w:rsidRPr="001D46C3" w14:paraId="0ECF3979" w14:textId="77777777" w:rsidTr="00BE321B">
        <w:trPr>
          <w:trHeight w:val="300"/>
        </w:trPr>
        <w:tc>
          <w:tcPr>
            <w:tcW w:w="8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261F7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1D46C3">
              <w:rPr>
                <w:rFonts w:ascii="Calibri" w:eastAsia="Times New Roman" w:hAnsi="Calibri" w:cs="Calibri"/>
                <w:b/>
                <w:bCs/>
                <w:color w:val="auto"/>
              </w:rPr>
              <w:t>Competency Area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4F1CE" w14:textId="330F598A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1D46C3">
              <w:rPr>
                <w:rFonts w:ascii="Calibri" w:eastAsia="Times New Roman" w:hAnsi="Calibri" w:cs="Calibri"/>
                <w:b/>
                <w:bCs/>
                <w:color w:val="auto"/>
              </w:rPr>
              <w:t>#</w:t>
            </w:r>
          </w:p>
        </w:tc>
        <w:tc>
          <w:tcPr>
            <w:tcW w:w="7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D6B10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1D46C3">
              <w:rPr>
                <w:rFonts w:ascii="Calibri" w:eastAsia="Times New Roman" w:hAnsi="Calibri" w:cs="Calibri"/>
                <w:b/>
                <w:bCs/>
                <w:color w:val="auto"/>
              </w:rPr>
              <w:t>Skill Element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12F23" w14:textId="487F7974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1D46C3">
              <w:rPr>
                <w:rFonts w:ascii="Calibri" w:eastAsia="Times New Roman" w:hAnsi="Calibri" w:cs="Calibri"/>
                <w:b/>
                <w:bCs/>
                <w:color w:val="auto"/>
              </w:rPr>
              <w:t>Relevant</w:t>
            </w:r>
            <w:r>
              <w:rPr>
                <w:rFonts w:ascii="Calibri" w:eastAsia="Times New Roman" w:hAnsi="Calibri" w:cs="Calibri"/>
                <w:b/>
                <w:bCs/>
                <w:color w:val="auto"/>
              </w:rPr>
              <w:t xml:space="preserve"> to Role</w:t>
            </w:r>
          </w:p>
        </w:tc>
        <w:tc>
          <w:tcPr>
            <w:tcW w:w="6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6A21E3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1D46C3">
              <w:rPr>
                <w:rFonts w:ascii="Calibri" w:eastAsia="Times New Roman" w:hAnsi="Calibri" w:cs="Calibri"/>
                <w:b/>
                <w:bCs/>
                <w:color w:val="auto"/>
              </w:rPr>
              <w:t>Level</w:t>
            </w:r>
          </w:p>
        </w:tc>
        <w:tc>
          <w:tcPr>
            <w:tcW w:w="20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2E8F2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1D46C3">
              <w:rPr>
                <w:rFonts w:ascii="Calibri" w:eastAsia="Times New Roman" w:hAnsi="Calibri" w:cs="Calibri"/>
                <w:b/>
                <w:bCs/>
                <w:color w:val="auto"/>
              </w:rPr>
              <w:t>Statement</w:t>
            </w:r>
          </w:p>
        </w:tc>
      </w:tr>
      <w:tr w:rsidR="001D46C3" w:rsidRPr="001D46C3" w14:paraId="11A9DFB0" w14:textId="77777777" w:rsidTr="00BE321B">
        <w:trPr>
          <w:trHeight w:val="600"/>
        </w:trPr>
        <w:tc>
          <w:tcPr>
            <w:tcW w:w="83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3EDC9B38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1D46C3">
              <w:rPr>
                <w:rFonts w:ascii="Calibri" w:eastAsia="Times New Roman" w:hAnsi="Calibri" w:cs="Calibri"/>
                <w:b/>
                <w:bCs/>
                <w:color w:val="000000"/>
              </w:rPr>
              <w:t>Governance, Resourcing, and Management</w:t>
            </w: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303B7907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749ED888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Policy Development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5D531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06EF9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Beginner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E2CD0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Understands the function and use of organizational digital preservation policies to guide practice</w:t>
            </w:r>
          </w:p>
        </w:tc>
      </w:tr>
      <w:tr w:rsidR="001D46C3" w:rsidRPr="001D46C3" w14:paraId="0ADBBCDE" w14:textId="77777777" w:rsidTr="00BE321B">
        <w:trPr>
          <w:trHeight w:val="6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71849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6E6B8EF2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2F57BF5E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Risk Management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5550E3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0D0933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Novice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26E994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 xml:space="preserve">Recognizes that digital preservation involves the management of risks </w:t>
            </w:r>
          </w:p>
        </w:tc>
      </w:tr>
      <w:tr w:rsidR="001D46C3" w:rsidRPr="001D46C3" w14:paraId="4902BF6F" w14:textId="77777777" w:rsidTr="00BE321B">
        <w:trPr>
          <w:trHeight w:val="3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94BEB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531243D9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7EC1AEA0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Resource Management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52550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8854B33" w14:textId="5D632A03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CA2B4E6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1D46C3" w:rsidRPr="001D46C3" w14:paraId="56D7BD63" w14:textId="77777777" w:rsidTr="00BE321B">
        <w:trPr>
          <w:trHeight w:val="3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6E40A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3116F786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5922A9BE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Staff Management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6C49A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74114F9" w14:textId="404F8AE2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6CE63CF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1D46C3" w:rsidRPr="001D46C3" w14:paraId="3C8C9687" w14:textId="77777777" w:rsidTr="00BE321B">
        <w:trPr>
          <w:trHeight w:val="9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959DB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948E6B3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5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4CC72716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Strategy and Planning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34A77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C780B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Beginner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61C69" w14:textId="110B97E9" w:rsidR="001D46C3" w:rsidRPr="001D46C3" w:rsidRDefault="00756652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Understands the</w:t>
            </w:r>
            <w:r w:rsidR="001D46C3" w:rsidRPr="001D46C3">
              <w:rPr>
                <w:rFonts w:ascii="Calibri" w:eastAsia="Times New Roman" w:hAnsi="Calibri" w:cs="Calibri"/>
                <w:color w:val="000000"/>
              </w:rPr>
              <w:t xml:space="preserve"> basic steps of project management and developing strategy (e.g., as part of a group project, research project, work placement)</w:t>
            </w:r>
          </w:p>
        </w:tc>
      </w:tr>
      <w:tr w:rsidR="001D46C3" w:rsidRPr="001D46C3" w14:paraId="5E774FF4" w14:textId="77777777" w:rsidTr="00BE321B">
        <w:trPr>
          <w:trHeight w:val="6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77D3A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1B0C1627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6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39BAA837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Analysis and Decision-Making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D41BD9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D33D2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Beginner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9A68E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Prioritizes tasks, identifies issues, and manages workload</w:t>
            </w:r>
          </w:p>
        </w:tc>
      </w:tr>
      <w:tr w:rsidR="001D46C3" w:rsidRPr="001D46C3" w14:paraId="7AE740A4" w14:textId="77777777" w:rsidTr="00BE321B">
        <w:trPr>
          <w:trHeight w:val="600"/>
        </w:trPr>
        <w:tc>
          <w:tcPr>
            <w:tcW w:w="83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22433097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1D46C3">
              <w:rPr>
                <w:rFonts w:ascii="Calibri" w:eastAsia="Times New Roman" w:hAnsi="Calibri" w:cs="Calibri"/>
                <w:b/>
                <w:bCs/>
                <w:color w:val="000000"/>
              </w:rPr>
              <w:t>Communications and Advocacy</w:t>
            </w: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06ABC862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7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0732FB92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Effective Communication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E9CAB5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26436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Intermediate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B3905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Communicates effectively, both verbally and in written formats, including report writing and giving presentations</w:t>
            </w:r>
          </w:p>
        </w:tc>
      </w:tr>
      <w:tr w:rsidR="001D46C3" w:rsidRPr="001D46C3" w14:paraId="00226B7A" w14:textId="77777777" w:rsidTr="00BE321B">
        <w:trPr>
          <w:trHeight w:val="6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7CCE4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046BFD4E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8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3DE14ED6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Collaboration and Teamwork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A35BF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0C973C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Intermediate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2B122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Works effectively as part of a team</w:t>
            </w:r>
          </w:p>
        </w:tc>
      </w:tr>
      <w:tr w:rsidR="001D46C3" w:rsidRPr="001D46C3" w14:paraId="17BD9815" w14:textId="77777777" w:rsidTr="00BE321B">
        <w:trPr>
          <w:trHeight w:val="6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1E031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8828C78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9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7353C98F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Stakeholder Analysis and Engagement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68575A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C00D1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Novice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84C23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 xml:space="preserve">Aware of the role and influence of stakeholders in an organization </w:t>
            </w:r>
          </w:p>
        </w:tc>
      </w:tr>
      <w:tr w:rsidR="001D46C3" w:rsidRPr="001D46C3" w14:paraId="70F32059" w14:textId="77777777" w:rsidTr="00BE321B">
        <w:trPr>
          <w:trHeight w:val="6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02E66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5380F7EA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10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15B3A553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User Analysis and Engagement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DA2869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4D1404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Novice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5CF6B" w14:textId="659339C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 xml:space="preserve">Aware of the role of users in </w:t>
            </w:r>
            <w:r w:rsidR="00756652">
              <w:rPr>
                <w:rFonts w:ascii="Calibri" w:eastAsia="Times New Roman" w:hAnsi="Calibri" w:cs="Calibri"/>
                <w:color w:val="000000"/>
              </w:rPr>
              <w:t xml:space="preserve">the </w:t>
            </w:r>
            <w:r w:rsidRPr="001D46C3">
              <w:rPr>
                <w:rFonts w:ascii="Calibri" w:eastAsia="Times New Roman" w:hAnsi="Calibri" w:cs="Calibri"/>
                <w:color w:val="000000"/>
              </w:rPr>
              <w:t xml:space="preserve">context of an organization </w:t>
            </w:r>
          </w:p>
        </w:tc>
      </w:tr>
      <w:tr w:rsidR="001D46C3" w:rsidRPr="001D46C3" w14:paraId="45460A6B" w14:textId="77777777" w:rsidTr="00BE321B">
        <w:trPr>
          <w:trHeight w:val="3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CE66D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790B33F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11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353954F3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Advocacy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7CB8AE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5D337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Beginner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49CF4" w14:textId="6D47BE72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 xml:space="preserve">Supports advocacy and </w:t>
            </w:r>
            <w:r w:rsidR="00756652">
              <w:rPr>
                <w:rFonts w:ascii="Calibri" w:eastAsia="Times New Roman" w:hAnsi="Calibri" w:cs="Calibri"/>
                <w:color w:val="000000"/>
              </w:rPr>
              <w:t>awareness-raising</w:t>
            </w:r>
            <w:r w:rsidRPr="001D46C3">
              <w:rPr>
                <w:rFonts w:ascii="Calibri" w:eastAsia="Times New Roman" w:hAnsi="Calibri" w:cs="Calibri"/>
                <w:color w:val="000000"/>
              </w:rPr>
              <w:t xml:space="preserve"> activities</w:t>
            </w:r>
          </w:p>
        </w:tc>
      </w:tr>
      <w:tr w:rsidR="001D46C3" w:rsidRPr="001D46C3" w14:paraId="654439E0" w14:textId="77777777" w:rsidTr="00BE321B">
        <w:trPr>
          <w:trHeight w:val="3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A732E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AF16A0D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12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2A7E535C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Training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50B3B5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0B04F0" w14:textId="468FD91E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95164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1D46C3" w:rsidRPr="001D46C3" w14:paraId="44729C5C" w14:textId="77777777" w:rsidTr="00BE321B">
        <w:trPr>
          <w:trHeight w:val="9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D2A55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7FDBE31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13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C764A4B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Producing Documentation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0D200D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34F7D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Novice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D542A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Aware that effective digital preservation requires documenting the technologies and actions carried out on digital content</w:t>
            </w:r>
          </w:p>
        </w:tc>
      </w:tr>
    </w:tbl>
    <w:p w14:paraId="59DCB998" w14:textId="127A7645" w:rsidR="00BE321B" w:rsidRDefault="00BE321B"/>
    <w:p w14:paraId="7F17F221" w14:textId="77777777" w:rsidR="00BE321B" w:rsidRDefault="00BE321B">
      <w:pPr>
        <w:spacing w:after="160"/>
      </w:pPr>
      <w:r>
        <w:br w:type="page"/>
      </w:r>
    </w:p>
    <w:p w14:paraId="4C91DA8F" w14:textId="77777777" w:rsidR="00BE321B" w:rsidRDefault="00BE321B"/>
    <w:tbl>
      <w:tblPr>
        <w:tblW w:w="5000" w:type="pct"/>
        <w:tblLook w:val="04A0" w:firstRow="1" w:lastRow="0" w:firstColumn="1" w:lastColumn="0" w:noHBand="0" w:noVBand="1"/>
      </w:tblPr>
      <w:tblGrid>
        <w:gridCol w:w="1755"/>
        <w:gridCol w:w="440"/>
        <w:gridCol w:w="1659"/>
        <w:gridCol w:w="1023"/>
        <w:gridCol w:w="1386"/>
        <w:gridCol w:w="4193"/>
      </w:tblGrid>
      <w:tr w:rsidR="00BE321B" w:rsidRPr="001D46C3" w14:paraId="153EC5E7" w14:textId="77777777" w:rsidTr="007C7898">
        <w:trPr>
          <w:trHeight w:val="900"/>
        </w:trPr>
        <w:tc>
          <w:tcPr>
            <w:tcW w:w="83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7BE54BBC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1D46C3">
              <w:rPr>
                <w:rFonts w:ascii="Calibri" w:eastAsia="Times New Roman" w:hAnsi="Calibri" w:cs="Calibri"/>
                <w:b/>
                <w:bCs/>
                <w:color w:val="000000"/>
              </w:rPr>
              <w:t>Information Technology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26977518" w14:textId="485E5336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</w:t>
            </w:r>
          </w:p>
        </w:tc>
        <w:tc>
          <w:tcPr>
            <w:tcW w:w="7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1B73CEB2" w14:textId="6D85ECD0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General IT Literacy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D4640" w14:textId="7AA69430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CD8F3" w14:textId="233A18A3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EB91A3" w14:textId="7195CEFE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key information formats and systems used for digital preservation, with some experience installing and setting up basic software or tools</w:t>
            </w:r>
          </w:p>
        </w:tc>
      </w:tr>
      <w:tr w:rsidR="00BE321B" w:rsidRPr="001D46C3" w14:paraId="51856049" w14:textId="77777777" w:rsidTr="007C7898">
        <w:trPr>
          <w:trHeight w:val="300"/>
        </w:trPr>
        <w:tc>
          <w:tcPr>
            <w:tcW w:w="83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8F24F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</w:tcPr>
          <w:p w14:paraId="5144C0C0" w14:textId="1B32D6F8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</w:tcPr>
          <w:p w14:paraId="55A36FEC" w14:textId="086DA2C4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Computer Programming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099955" w14:textId="7109F54B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</w:tcPr>
          <w:p w14:paraId="5D4C4198" w14:textId="26143203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</w:tcPr>
          <w:p w14:paraId="517D5DD4" w14:textId="6FCF68FD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BE321B" w:rsidRPr="001D46C3" w14:paraId="14C7B559" w14:textId="77777777" w:rsidTr="007C7898">
        <w:trPr>
          <w:trHeight w:val="300"/>
        </w:trPr>
        <w:tc>
          <w:tcPr>
            <w:tcW w:w="83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ADE6D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0173B539" w14:textId="0CEFB415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4EFBF2F8" w14:textId="3571C55D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System Procurement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4F4D4" w14:textId="5CF08401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D513B0F" w14:textId="1204F9C0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3053AAAE" w14:textId="3B29499D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BE321B" w:rsidRPr="001D46C3" w14:paraId="69FB4A03" w14:textId="77777777" w:rsidTr="007C7898">
        <w:trPr>
          <w:trHeight w:val="600"/>
        </w:trPr>
        <w:tc>
          <w:tcPr>
            <w:tcW w:w="83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4CC88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1DA755E6" w14:textId="3F9EDA75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37971FE3" w14:textId="57BCACC1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Storage Infrastructures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F1E4F" w14:textId="2E22A62B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A842E" w14:textId="74336A7D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Novice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1DBD7E" w14:textId="6F8CC10F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Aware of common issues relating to storage media and back-ups </w:t>
            </w:r>
          </w:p>
        </w:tc>
      </w:tr>
      <w:tr w:rsidR="00BE321B" w:rsidRPr="001D46C3" w14:paraId="7C5F15BB" w14:textId="77777777" w:rsidTr="007C7898">
        <w:trPr>
          <w:trHeight w:val="600"/>
        </w:trPr>
        <w:tc>
          <w:tcPr>
            <w:tcW w:w="83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33A9E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5BFC9DF5" w14:textId="2DD734C9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0544A2B0" w14:textId="0232C0EC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Security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1F5E2" w14:textId="0F8477FA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29E90" w14:textId="3252E751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Novice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9F4BE" w14:textId="387B1477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 of main issues relating to information security such as privacy, access permissions, and virus checking</w:t>
            </w:r>
          </w:p>
        </w:tc>
      </w:tr>
      <w:tr w:rsidR="00BE321B" w:rsidRPr="001D46C3" w14:paraId="401DEFEA" w14:textId="77777777" w:rsidTr="007C7898">
        <w:trPr>
          <w:trHeight w:val="600"/>
        </w:trPr>
        <w:tc>
          <w:tcPr>
            <w:tcW w:w="83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D198BF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11DDD44C" w14:textId="21F2751D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06261339" w14:textId="6F548941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Workflow Development and Implementation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C1A3D" w14:textId="5869870E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7A0A1" w14:textId="37323AB0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Novice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EA0DBD" w14:textId="7C3BC1CC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 of the function and use of workflows to process digital content for preservation</w:t>
            </w:r>
          </w:p>
        </w:tc>
      </w:tr>
      <w:tr w:rsidR="00BE321B" w:rsidRPr="001D46C3" w14:paraId="57B96537" w14:textId="77777777" w:rsidTr="00BE321B">
        <w:trPr>
          <w:trHeight w:val="600"/>
        </w:trPr>
        <w:tc>
          <w:tcPr>
            <w:tcW w:w="83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5789BF32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1D46C3">
              <w:rPr>
                <w:rFonts w:ascii="Calibri" w:eastAsia="Times New Roman" w:hAnsi="Calibri" w:cs="Calibri"/>
                <w:b/>
                <w:bCs/>
                <w:color w:val="000000"/>
              </w:rPr>
              <w:t>Legal and Social Responsibilities</w:t>
            </w: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5A78BD2D" w14:textId="192000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64FE4348" w14:textId="58896E2C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Legal and Regulatory Compliance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81C7E" w14:textId="63D470A5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9C07F" w14:textId="57387DA2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FAC737" w14:textId="6EFB4678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key legal and regulatory responsibilities of organizations in relation to digital preservation</w:t>
            </w:r>
          </w:p>
        </w:tc>
      </w:tr>
      <w:tr w:rsidR="00BE321B" w:rsidRPr="001D46C3" w14:paraId="353A8B8B" w14:textId="77777777" w:rsidTr="00BE321B">
        <w:trPr>
          <w:trHeight w:val="3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CDFD2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31D36A42" w14:textId="6A9BB769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16A04045" w14:textId="6AE74D7A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Environmental Impact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E45D3" w14:textId="3EDC57DC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97051" w14:textId="38E21D12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Novice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36A3E5" w14:textId="7B529235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 of the environmental impact of digital preservation</w:t>
            </w:r>
          </w:p>
        </w:tc>
      </w:tr>
      <w:tr w:rsidR="00BE321B" w:rsidRPr="001D46C3" w14:paraId="72FE877C" w14:textId="77777777" w:rsidTr="00BE321B">
        <w:trPr>
          <w:trHeight w:val="6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081702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2B677474" w14:textId="44B9EDB4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3AEB5FFB" w14:textId="6D6095C9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Inclusion and Diversity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DF1DA" w14:textId="394C8699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437F2" w14:textId="39A444B2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Novice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A33394" w14:textId="19E3A02B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 of issues relating to inclusion and diversity connected to digital preservation</w:t>
            </w:r>
          </w:p>
        </w:tc>
      </w:tr>
      <w:tr w:rsidR="00BE321B" w:rsidRPr="001D46C3" w14:paraId="64E8CC55" w14:textId="77777777" w:rsidTr="00BE321B">
        <w:trPr>
          <w:trHeight w:val="6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08E45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0F7EA80A" w14:textId="0B3E8C08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0901393D" w14:textId="746DBF26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Ethics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D9615" w14:textId="29A83182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34A98" w14:textId="302C746E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016E14" w14:textId="7E6CF11E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the ethical implications of digital preservation activities</w:t>
            </w:r>
          </w:p>
        </w:tc>
      </w:tr>
      <w:tr w:rsidR="00BE321B" w:rsidRPr="001D46C3" w14:paraId="002E8178" w14:textId="77777777" w:rsidTr="00BE321B">
        <w:trPr>
          <w:trHeight w:val="600"/>
        </w:trPr>
        <w:tc>
          <w:tcPr>
            <w:tcW w:w="83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51F3B544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1D46C3">
              <w:rPr>
                <w:rFonts w:ascii="Calibri" w:eastAsia="Times New Roman" w:hAnsi="Calibri" w:cs="Calibri"/>
                <w:b/>
                <w:bCs/>
                <w:color w:val="000000"/>
              </w:rPr>
              <w:t>Digital Preservation Domain Specific</w:t>
            </w: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0D7DCA1F" w14:textId="09463893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2DBFC7A0" w14:textId="047AC394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Metadata Standards and Implementation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A2017" w14:textId="49E638A6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DD976" w14:textId="571DDFDF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DC6C2C" w14:textId="2E0309AE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and can identify relevant metadata standards</w:t>
            </w:r>
          </w:p>
        </w:tc>
      </w:tr>
      <w:tr w:rsidR="00BE321B" w:rsidRPr="001D46C3" w14:paraId="58459A84" w14:textId="77777777" w:rsidTr="00BE321B">
        <w:trPr>
          <w:trHeight w:val="9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995E4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3D680644" w14:textId="517C9005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5AC5425B" w14:textId="5470E922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Management Principles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F8D3A" w14:textId="1D10E35E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9C0B1" w14:textId="175DAB78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D1F8E0" w14:textId="18BCD16B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Understands key information management principles such as integrity, reliability, authenticity, and usability, and how they are managed during digital preservation activities </w:t>
            </w:r>
          </w:p>
        </w:tc>
      </w:tr>
      <w:tr w:rsidR="00BE321B" w:rsidRPr="001D46C3" w14:paraId="02B8D63B" w14:textId="77777777" w:rsidTr="00BE321B">
        <w:trPr>
          <w:trHeight w:val="6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59E96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66E191CB" w14:textId="7DF35F7A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76A30684" w14:textId="0D6959CA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Approaches to Preservation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DDF3A" w14:textId="12EB613B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995DA" w14:textId="267D7536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E6A79C" w14:textId="301CC748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key methodologies for the preservation of digital content such as migration and emulation</w:t>
            </w:r>
          </w:p>
        </w:tc>
      </w:tr>
      <w:tr w:rsidR="00BE321B" w:rsidRPr="001D46C3" w14:paraId="2EC22F20" w14:textId="77777777" w:rsidTr="00BE321B">
        <w:trPr>
          <w:trHeight w:val="3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F3EA6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66131609" w14:textId="71005B04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05413CCB" w14:textId="545191A4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DP Standards and Models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5E0A8" w14:textId="2217DFBE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86D9D" w14:textId="5D065BC3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A1FF0C" w14:textId="5B69DDCD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Understands key digital preservation standards and models </w:t>
            </w:r>
          </w:p>
        </w:tc>
      </w:tr>
      <w:tr w:rsidR="00BE321B" w:rsidRPr="001D46C3" w14:paraId="5FAD9A17" w14:textId="77777777" w:rsidTr="00BE321B">
        <w:trPr>
          <w:trHeight w:val="6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6A834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30BFBAF8" w14:textId="42FA3C92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46747B09" w14:textId="374CD5FD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Managing Access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0D1EC" w14:textId="1404183A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239C8" w14:textId="4742EF4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Novice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8F689F" w14:textId="1CA3FAE4" w:rsidR="00BE321B" w:rsidRPr="001D46C3" w:rsidRDefault="00BE321B" w:rsidP="00BE321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Recognizes the importance of preservation for access to digital content </w:t>
            </w:r>
          </w:p>
        </w:tc>
      </w:tr>
    </w:tbl>
    <w:p w14:paraId="035E700F" w14:textId="77777777" w:rsidR="00C814F9" w:rsidRPr="00C814F9" w:rsidRDefault="00C814F9" w:rsidP="00C814F9"/>
    <w:sectPr w:rsidR="00C814F9" w:rsidRPr="00C814F9" w:rsidSect="001A7902">
      <w:headerReference w:type="default" r:id="rId8"/>
      <w:pgSz w:w="11906" w:h="16838"/>
      <w:pgMar w:top="1304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7E860A" w14:textId="77777777" w:rsidR="002E4AB2" w:rsidRDefault="002E4AB2" w:rsidP="00C814F9">
      <w:pPr>
        <w:spacing w:line="240" w:lineRule="auto"/>
      </w:pPr>
      <w:r>
        <w:separator/>
      </w:r>
    </w:p>
  </w:endnote>
  <w:endnote w:type="continuationSeparator" w:id="0">
    <w:p w14:paraId="3BE6CF8E" w14:textId="77777777" w:rsidR="002E4AB2" w:rsidRDefault="002E4AB2" w:rsidP="00C814F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CE9FBF" w14:textId="77777777" w:rsidR="002E4AB2" w:rsidRDefault="002E4AB2" w:rsidP="00C814F9">
      <w:pPr>
        <w:spacing w:line="240" w:lineRule="auto"/>
      </w:pPr>
      <w:r>
        <w:separator/>
      </w:r>
    </w:p>
  </w:footnote>
  <w:footnote w:type="continuationSeparator" w:id="0">
    <w:p w14:paraId="5321478E" w14:textId="77777777" w:rsidR="002E4AB2" w:rsidRDefault="002E4AB2" w:rsidP="00C814F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52DA70" w14:textId="0FA49AAD" w:rsidR="001A7902" w:rsidRDefault="001A7902" w:rsidP="001A7902">
    <w:pPr>
      <w:pStyle w:val="Header"/>
      <w:jc w:val="right"/>
    </w:pPr>
    <w:r>
      <w:rPr>
        <w:noProof/>
      </w:rPr>
      <w:drawing>
        <wp:inline distT="0" distB="0" distL="0" distR="0" wp14:anchorId="38CEA1D6" wp14:editId="35C74ED8">
          <wp:extent cx="1905000" cy="419100"/>
          <wp:effectExtent l="0" t="0" r="0" b="0"/>
          <wp:docPr id="1" name="Picture 1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419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42066"/>
    <w:multiLevelType w:val="hybridMultilevel"/>
    <w:tmpl w:val="3EEC77E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880C14"/>
    <w:multiLevelType w:val="multilevel"/>
    <w:tmpl w:val="D6C4BA72"/>
    <w:lvl w:ilvl="0">
      <w:start w:val="1"/>
      <w:numFmt w:val="decimal"/>
      <w:pStyle w:val="Heading1"/>
      <w:suff w:val="space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2" w15:restartNumberingAfterBreak="0">
    <w:nsid w:val="49656A20"/>
    <w:multiLevelType w:val="hybridMultilevel"/>
    <w:tmpl w:val="F6966312"/>
    <w:lvl w:ilvl="0" w:tplc="6D7821B6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505DF3"/>
    <w:multiLevelType w:val="multilevel"/>
    <w:tmpl w:val="445C09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2099331048">
    <w:abstractNumId w:val="2"/>
  </w:num>
  <w:num w:numId="2" w16cid:durableId="1876963029">
    <w:abstractNumId w:val="2"/>
  </w:num>
  <w:num w:numId="3" w16cid:durableId="106699708">
    <w:abstractNumId w:val="3"/>
  </w:num>
  <w:num w:numId="4" w16cid:durableId="24410052">
    <w:abstractNumId w:val="3"/>
  </w:num>
  <w:num w:numId="5" w16cid:durableId="2041469792">
    <w:abstractNumId w:val="3"/>
  </w:num>
  <w:num w:numId="6" w16cid:durableId="26102583">
    <w:abstractNumId w:val="1"/>
  </w:num>
  <w:num w:numId="7" w16cid:durableId="738481872">
    <w:abstractNumId w:val="3"/>
  </w:num>
  <w:num w:numId="8" w16cid:durableId="1557398436">
    <w:abstractNumId w:val="1"/>
  </w:num>
  <w:num w:numId="9" w16cid:durableId="2014215686">
    <w:abstractNumId w:val="1"/>
  </w:num>
  <w:num w:numId="10" w16cid:durableId="1420978069">
    <w:abstractNumId w:val="1"/>
  </w:num>
  <w:num w:numId="11" w16cid:durableId="2037190576">
    <w:abstractNumId w:val="1"/>
  </w:num>
  <w:num w:numId="12" w16cid:durableId="1374425295">
    <w:abstractNumId w:val="1"/>
  </w:num>
  <w:num w:numId="13" w16cid:durableId="390884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4F9"/>
    <w:rsid w:val="00180B42"/>
    <w:rsid w:val="001A7902"/>
    <w:rsid w:val="001D46C3"/>
    <w:rsid w:val="002E4AB2"/>
    <w:rsid w:val="003D4B0B"/>
    <w:rsid w:val="00484B5B"/>
    <w:rsid w:val="004C07B5"/>
    <w:rsid w:val="0051077F"/>
    <w:rsid w:val="00576B55"/>
    <w:rsid w:val="005F4568"/>
    <w:rsid w:val="00756652"/>
    <w:rsid w:val="0077736A"/>
    <w:rsid w:val="00790071"/>
    <w:rsid w:val="007C7898"/>
    <w:rsid w:val="008A6AF9"/>
    <w:rsid w:val="008C4533"/>
    <w:rsid w:val="00903DA2"/>
    <w:rsid w:val="00907E69"/>
    <w:rsid w:val="00AE0612"/>
    <w:rsid w:val="00B53250"/>
    <w:rsid w:val="00BE321B"/>
    <w:rsid w:val="00C25E3E"/>
    <w:rsid w:val="00C814F9"/>
    <w:rsid w:val="00CD5BEC"/>
    <w:rsid w:val="00CD6FC9"/>
    <w:rsid w:val="00D23A14"/>
    <w:rsid w:val="00D60833"/>
    <w:rsid w:val="00D834B2"/>
    <w:rsid w:val="00DA27C6"/>
    <w:rsid w:val="00E83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7DA386"/>
  <w15:chartTrackingRefBased/>
  <w15:docId w15:val="{30099F3E-FB97-40C8-A576-FB506C66C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3250"/>
    <w:pPr>
      <w:spacing w:after="0"/>
    </w:pPr>
    <w:rPr>
      <w:rFonts w:ascii="Open Sans" w:hAnsi="Open Sans"/>
      <w:color w:val="595959" w:themeColor="text1" w:themeTint="A6"/>
    </w:rPr>
  </w:style>
  <w:style w:type="paragraph" w:styleId="Heading1">
    <w:name w:val="heading 1"/>
    <w:basedOn w:val="Normal"/>
    <w:next w:val="Normal"/>
    <w:link w:val="Heading1Char"/>
    <w:uiPriority w:val="9"/>
    <w:qFormat/>
    <w:rsid w:val="00E83FB9"/>
    <w:pPr>
      <w:keepNext/>
      <w:keepLines/>
      <w:numPr>
        <w:numId w:val="13"/>
      </w:numPr>
      <w:spacing w:before="480" w:after="240"/>
      <w:outlineLvl w:val="0"/>
    </w:pPr>
    <w:rPr>
      <w:rFonts w:eastAsiaTheme="majorEastAsia" w:cstheme="majorBidi"/>
      <w:b/>
      <w:color w:val="038C73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83FB9"/>
    <w:pPr>
      <w:keepNext/>
      <w:keepLines/>
      <w:numPr>
        <w:ilvl w:val="1"/>
        <w:numId w:val="10"/>
      </w:numPr>
      <w:spacing w:before="360" w:after="120" w:line="240" w:lineRule="auto"/>
      <w:outlineLvl w:val="1"/>
    </w:pPr>
    <w:rPr>
      <w:rFonts w:eastAsiaTheme="majorEastAsia" w:cstheme="majorBidi"/>
      <w:b/>
      <w:color w:val="058C73"/>
      <w:sz w:val="24"/>
      <w:szCs w:val="26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E83FB9"/>
    <w:pPr>
      <w:numPr>
        <w:ilvl w:val="2"/>
        <w:numId w:val="13"/>
      </w:numPr>
      <w:spacing w:before="40"/>
      <w:outlineLvl w:val="2"/>
    </w:pPr>
    <w:rPr>
      <w:sz w:val="22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1077F"/>
    <w:pPr>
      <w:spacing w:before="240" w:line="240" w:lineRule="auto"/>
      <w:contextualSpacing/>
    </w:pPr>
    <w:rPr>
      <w:rFonts w:eastAsiaTheme="majorEastAsia" w:cstheme="majorBidi"/>
      <w:color w:val="038C73"/>
      <w:spacing w:val="-10"/>
      <w:kern w:val="28"/>
      <w:sz w:val="48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1077F"/>
    <w:rPr>
      <w:rFonts w:ascii="Open Sans" w:eastAsiaTheme="majorEastAsia" w:hAnsi="Open Sans" w:cstheme="majorBidi"/>
      <w:color w:val="038C73"/>
      <w:spacing w:val="-10"/>
      <w:kern w:val="28"/>
      <w:sz w:val="48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077F"/>
    <w:pPr>
      <w:numPr>
        <w:ilvl w:val="1"/>
      </w:numPr>
      <w:spacing w:after="360"/>
    </w:pPr>
    <w:rPr>
      <w:rFonts w:eastAsiaTheme="minorEastAsia"/>
      <w:b/>
      <w:color w:val="5A5A5A" w:themeColor="text1" w:themeTint="A5"/>
      <w:spacing w:val="15"/>
      <w:sz w:val="32"/>
    </w:rPr>
  </w:style>
  <w:style w:type="character" w:customStyle="1" w:styleId="SubtitleChar">
    <w:name w:val="Subtitle Char"/>
    <w:basedOn w:val="DefaultParagraphFont"/>
    <w:link w:val="Subtitle"/>
    <w:uiPriority w:val="11"/>
    <w:rsid w:val="0051077F"/>
    <w:rPr>
      <w:rFonts w:ascii="Open Sans" w:eastAsiaTheme="minorEastAsia" w:hAnsi="Open Sans"/>
      <w:b/>
      <w:color w:val="5A5A5A" w:themeColor="text1" w:themeTint="A5"/>
      <w:spacing w:val="15"/>
      <w:sz w:val="32"/>
    </w:rPr>
  </w:style>
  <w:style w:type="character" w:customStyle="1" w:styleId="Heading1Char">
    <w:name w:val="Heading 1 Char"/>
    <w:basedOn w:val="DefaultParagraphFont"/>
    <w:link w:val="Heading1"/>
    <w:uiPriority w:val="9"/>
    <w:rsid w:val="00D834B2"/>
    <w:rPr>
      <w:rFonts w:ascii="Open Sans" w:eastAsiaTheme="majorEastAsia" w:hAnsi="Open Sans" w:cstheme="majorBidi"/>
      <w:b/>
      <w:color w:val="038C73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83FB9"/>
    <w:rPr>
      <w:rFonts w:ascii="Open Sans" w:eastAsiaTheme="majorEastAsia" w:hAnsi="Open Sans" w:cstheme="majorBidi"/>
      <w:b/>
      <w:color w:val="058C73"/>
      <w:sz w:val="24"/>
      <w:szCs w:val="26"/>
    </w:rPr>
  </w:style>
  <w:style w:type="paragraph" w:styleId="ListParagraph">
    <w:name w:val="List Paragraph"/>
    <w:basedOn w:val="Normal"/>
    <w:uiPriority w:val="34"/>
    <w:qFormat/>
    <w:rsid w:val="00DA27C6"/>
    <w:pPr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E83FB9"/>
    <w:rPr>
      <w:rFonts w:ascii="Open Sans" w:eastAsiaTheme="majorEastAsia" w:hAnsi="Open Sans" w:cstheme="majorBidi"/>
      <w:b/>
      <w:color w:val="058C73"/>
      <w:szCs w:val="24"/>
    </w:rPr>
  </w:style>
  <w:style w:type="paragraph" w:styleId="Header">
    <w:name w:val="header"/>
    <w:basedOn w:val="Normal"/>
    <w:link w:val="Head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14F9"/>
    <w:rPr>
      <w:rFonts w:ascii="Open Sans" w:hAnsi="Open Sans"/>
      <w:color w:val="595959" w:themeColor="text1" w:themeTint="A6"/>
    </w:rPr>
  </w:style>
  <w:style w:type="paragraph" w:styleId="Footer">
    <w:name w:val="footer"/>
    <w:basedOn w:val="Normal"/>
    <w:link w:val="Foot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14F9"/>
    <w:rPr>
      <w:rFonts w:ascii="Open Sans" w:hAnsi="Open Sans"/>
      <w:color w:val="595959" w:themeColor="text1" w:themeTint="A6"/>
    </w:rPr>
  </w:style>
  <w:style w:type="paragraph" w:styleId="Revision">
    <w:name w:val="Revision"/>
    <w:hidden/>
    <w:uiPriority w:val="99"/>
    <w:semiHidden/>
    <w:rsid w:val="00576B55"/>
    <w:pPr>
      <w:spacing w:after="0" w:line="240" w:lineRule="auto"/>
    </w:pPr>
    <w:rPr>
      <w:rFonts w:ascii="Open Sans" w:hAnsi="Open Sans"/>
      <w:color w:val="595959" w:themeColor="text1" w:themeTint="A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251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57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1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56EB2A-01CE-45AA-9FF6-77E0643FE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550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McMeekin</dc:creator>
  <cp:keywords/>
  <dc:description/>
  <cp:lastModifiedBy>Sharon McMeekin</cp:lastModifiedBy>
  <cp:revision>3</cp:revision>
  <dcterms:created xsi:type="dcterms:W3CDTF">2022-08-30T12:44:00Z</dcterms:created>
  <dcterms:modified xsi:type="dcterms:W3CDTF">2022-08-30T12:46:00Z</dcterms:modified>
</cp:coreProperties>
</file>