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3E97" w14:textId="10098026" w:rsidR="008A6AF9" w:rsidRDefault="00C814F9" w:rsidP="00C814F9">
      <w:pPr>
        <w:pStyle w:val="Title"/>
      </w:pPr>
      <w:r>
        <w:t xml:space="preserve">Example Role Description: </w:t>
      </w:r>
      <w:r w:rsidR="00350204">
        <w:t xml:space="preserve">Digital Preservation </w:t>
      </w:r>
      <w:r w:rsidR="00C80568">
        <w:t>Program Manager</w:t>
      </w:r>
    </w:p>
    <w:p w14:paraId="011D1858" w14:textId="543B918E" w:rsidR="00484B5B" w:rsidRDefault="00484B5B" w:rsidP="00484B5B"/>
    <w:p w14:paraId="0C4BC729" w14:textId="59C1EF49" w:rsidR="00484B5B" w:rsidRDefault="00484B5B" w:rsidP="00484B5B">
      <w:r>
        <w:t xml:space="preserve">The following table provides an example of a role description developed using the DPC’s Competency Framework. The role description </w:t>
      </w:r>
      <w:r w:rsidR="003B672B">
        <w:t>presents</w:t>
      </w:r>
      <w:r>
        <w:t xml:space="preserve"> the competencies </w:t>
      </w:r>
      <w:r w:rsidR="007C2B55">
        <w:t xml:space="preserve">someone in a role such as </w:t>
      </w:r>
      <w:r w:rsidR="00335DCB">
        <w:t xml:space="preserve">a </w:t>
      </w:r>
      <w:r w:rsidR="007C2B55">
        <w:t xml:space="preserve">“Digital Preservation </w:t>
      </w:r>
      <w:r w:rsidR="003F6EFA">
        <w:t>Program Manager</w:t>
      </w:r>
      <w:r w:rsidR="007C2B55">
        <w:t xml:space="preserve">” </w:t>
      </w:r>
      <w:r>
        <w:t xml:space="preserve">might be expected to have </w:t>
      </w:r>
      <w:r w:rsidR="007C2B55">
        <w:t xml:space="preserve">after </w:t>
      </w:r>
      <w:r w:rsidR="003F6EFA">
        <w:t>some experience in the position</w:t>
      </w:r>
      <w:r>
        <w:t>.</w:t>
      </w:r>
      <w:r w:rsidR="007C2B55">
        <w:t xml:space="preserve"> Here</w:t>
      </w:r>
      <w:r w:rsidR="003B672B">
        <w:t>,</w:t>
      </w:r>
      <w:r w:rsidR="007C2B55">
        <w:t xml:space="preserve"> “Digital Preservation </w:t>
      </w:r>
      <w:r w:rsidR="003F6EFA">
        <w:t>Program Manager</w:t>
      </w:r>
      <w:r w:rsidR="007C2B55">
        <w:t xml:space="preserve">” is used to describe a </w:t>
      </w:r>
      <w:r w:rsidR="003F6EFA">
        <w:t>manager</w:t>
      </w:r>
      <w:r w:rsidR="00E45802">
        <w:t xml:space="preserve"> </w:t>
      </w:r>
      <w:r w:rsidR="003F6EFA">
        <w:t>who oversees and guides the digital preservation activities at an organization</w:t>
      </w:r>
      <w:r w:rsidR="007C2B55">
        <w:t xml:space="preserve">. When hiring </w:t>
      </w:r>
      <w:r w:rsidR="003B672B">
        <w:t>for</w:t>
      </w:r>
      <w:r w:rsidR="007C2B55">
        <w:t xml:space="preserve"> such a role</w:t>
      </w:r>
      <w:r w:rsidR="003B672B">
        <w:t>,</w:t>
      </w:r>
      <w:r w:rsidR="007C2B55">
        <w:t xml:space="preserve"> it would be expected that applicants would have some but not </w:t>
      </w:r>
      <w:r w:rsidR="003B7019">
        <w:t xml:space="preserve">all of the skills </w:t>
      </w:r>
      <w:r w:rsidR="00335DCB">
        <w:t>and that they might build the full set of skills described here over time.</w:t>
      </w:r>
    </w:p>
    <w:p w14:paraId="68389D1A" w14:textId="5EEFCF2D" w:rsidR="003B7019" w:rsidRDefault="003B7019" w:rsidP="00484B5B"/>
    <w:tbl>
      <w:tblPr>
        <w:tblW w:w="5000" w:type="pct"/>
        <w:tblLook w:val="04A0" w:firstRow="1" w:lastRow="0" w:firstColumn="1" w:lastColumn="0" w:noHBand="0" w:noVBand="1"/>
      </w:tblPr>
      <w:tblGrid>
        <w:gridCol w:w="1754"/>
        <w:gridCol w:w="440"/>
        <w:gridCol w:w="1847"/>
        <w:gridCol w:w="1023"/>
        <w:gridCol w:w="1387"/>
        <w:gridCol w:w="4005"/>
      </w:tblGrid>
      <w:tr w:rsidR="00C80568" w:rsidRPr="00C80568" w14:paraId="78F1378F" w14:textId="77777777" w:rsidTr="00613463">
        <w:trPr>
          <w:cantSplit/>
          <w:trHeight w:val="300"/>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0EC99" w14:textId="77777777" w:rsidR="00C80568" w:rsidRPr="00C80568" w:rsidRDefault="00C80568" w:rsidP="00C80568">
            <w:pPr>
              <w:spacing w:line="240" w:lineRule="auto"/>
              <w:jc w:val="center"/>
              <w:rPr>
                <w:rFonts w:ascii="Calibri" w:eastAsia="Times New Roman" w:hAnsi="Calibri" w:cs="Calibri"/>
                <w:b/>
                <w:bCs/>
                <w:color w:val="auto"/>
              </w:rPr>
            </w:pPr>
            <w:r w:rsidRPr="00C80568">
              <w:rPr>
                <w:rFonts w:ascii="Calibri" w:eastAsia="Times New Roman" w:hAnsi="Calibri" w:cs="Calibri"/>
                <w:b/>
                <w:bCs/>
                <w:color w:val="auto"/>
              </w:rPr>
              <w:t>Competency Area</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4D1A85D" w14:textId="2FE3DD10" w:rsidR="00C80568" w:rsidRPr="00C80568" w:rsidRDefault="00C80568" w:rsidP="00C80568">
            <w:pPr>
              <w:spacing w:line="240" w:lineRule="auto"/>
              <w:jc w:val="center"/>
              <w:rPr>
                <w:rFonts w:ascii="Calibri" w:eastAsia="Times New Roman" w:hAnsi="Calibri" w:cs="Calibri"/>
                <w:b/>
                <w:bCs/>
                <w:color w:val="auto"/>
              </w:rPr>
            </w:pPr>
            <w:r w:rsidRPr="00C80568">
              <w:rPr>
                <w:rFonts w:ascii="Calibri" w:eastAsia="Times New Roman" w:hAnsi="Calibri" w:cs="Calibri"/>
                <w:b/>
                <w:bCs/>
                <w:color w:val="auto"/>
              </w:rPr>
              <w:t>#</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1A34C3B1" w14:textId="77777777" w:rsidR="00C80568" w:rsidRPr="00C80568" w:rsidRDefault="00C80568" w:rsidP="00C80568">
            <w:pPr>
              <w:spacing w:line="240" w:lineRule="auto"/>
              <w:rPr>
                <w:rFonts w:ascii="Calibri" w:eastAsia="Times New Roman" w:hAnsi="Calibri" w:cs="Calibri"/>
                <w:b/>
                <w:bCs/>
                <w:color w:val="auto"/>
              </w:rPr>
            </w:pPr>
            <w:r w:rsidRPr="00C80568">
              <w:rPr>
                <w:rFonts w:ascii="Calibri" w:eastAsia="Times New Roman" w:hAnsi="Calibri" w:cs="Calibri"/>
                <w:b/>
                <w:bCs/>
                <w:color w:val="auto"/>
              </w:rPr>
              <w:t>Skill Element</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754410D9" w14:textId="3A305C81" w:rsidR="00C80568" w:rsidRPr="00C80568" w:rsidRDefault="00C80568" w:rsidP="00C80568">
            <w:pPr>
              <w:spacing w:line="240" w:lineRule="auto"/>
              <w:jc w:val="center"/>
              <w:rPr>
                <w:rFonts w:ascii="Calibri" w:eastAsia="Times New Roman" w:hAnsi="Calibri" w:cs="Calibri"/>
                <w:b/>
                <w:bCs/>
                <w:color w:val="auto"/>
              </w:rPr>
            </w:pPr>
            <w:r w:rsidRPr="00C80568">
              <w:rPr>
                <w:rFonts w:ascii="Calibri" w:eastAsia="Times New Roman" w:hAnsi="Calibri" w:cs="Calibri"/>
                <w:b/>
                <w:bCs/>
                <w:color w:val="auto"/>
              </w:rPr>
              <w:t>Relevant</w:t>
            </w:r>
            <w:r>
              <w:rPr>
                <w:rFonts w:ascii="Calibri" w:eastAsia="Times New Roman" w:hAnsi="Calibri" w:cs="Calibri"/>
                <w:b/>
                <w:bCs/>
                <w:color w:val="auto"/>
              </w:rPr>
              <w:t xml:space="preserve"> to Role</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4F4753D6" w14:textId="77777777" w:rsidR="00C80568" w:rsidRPr="00C80568" w:rsidRDefault="00C80568" w:rsidP="00C80568">
            <w:pPr>
              <w:spacing w:line="240" w:lineRule="auto"/>
              <w:jc w:val="center"/>
              <w:rPr>
                <w:rFonts w:ascii="Calibri" w:eastAsia="Times New Roman" w:hAnsi="Calibri" w:cs="Calibri"/>
                <w:b/>
                <w:bCs/>
                <w:color w:val="auto"/>
              </w:rPr>
            </w:pPr>
            <w:r w:rsidRPr="00C80568">
              <w:rPr>
                <w:rFonts w:ascii="Calibri" w:eastAsia="Times New Roman" w:hAnsi="Calibri" w:cs="Calibri"/>
                <w:b/>
                <w:bCs/>
                <w:color w:val="auto"/>
              </w:rPr>
              <w:t>Level</w:t>
            </w:r>
          </w:p>
        </w:tc>
        <w:tc>
          <w:tcPr>
            <w:tcW w:w="1965" w:type="pct"/>
            <w:tcBorders>
              <w:top w:val="single" w:sz="4" w:space="0" w:color="auto"/>
              <w:left w:val="nil"/>
              <w:bottom w:val="single" w:sz="4" w:space="0" w:color="auto"/>
              <w:right w:val="single" w:sz="4" w:space="0" w:color="auto"/>
            </w:tcBorders>
            <w:shd w:val="clear" w:color="auto" w:fill="auto"/>
            <w:vAlign w:val="center"/>
            <w:hideMark/>
          </w:tcPr>
          <w:p w14:paraId="7E680E15" w14:textId="77777777" w:rsidR="00C80568" w:rsidRPr="00C80568" w:rsidRDefault="00C80568" w:rsidP="00C80568">
            <w:pPr>
              <w:spacing w:line="240" w:lineRule="auto"/>
              <w:rPr>
                <w:rFonts w:ascii="Calibri" w:eastAsia="Times New Roman" w:hAnsi="Calibri" w:cs="Calibri"/>
                <w:b/>
                <w:bCs/>
                <w:color w:val="auto"/>
              </w:rPr>
            </w:pPr>
            <w:r w:rsidRPr="00C80568">
              <w:rPr>
                <w:rFonts w:ascii="Calibri" w:eastAsia="Times New Roman" w:hAnsi="Calibri" w:cs="Calibri"/>
                <w:b/>
                <w:bCs/>
                <w:color w:val="auto"/>
              </w:rPr>
              <w:t>Statement</w:t>
            </w:r>
          </w:p>
        </w:tc>
      </w:tr>
      <w:tr w:rsidR="00C80568" w:rsidRPr="00C80568" w14:paraId="46C3137A" w14:textId="77777777" w:rsidTr="00613463">
        <w:trPr>
          <w:cantSplit/>
          <w:trHeight w:val="900"/>
        </w:trPr>
        <w:tc>
          <w:tcPr>
            <w:tcW w:w="839" w:type="pct"/>
            <w:vMerge w:val="restart"/>
            <w:tcBorders>
              <w:top w:val="nil"/>
              <w:left w:val="single" w:sz="4" w:space="0" w:color="auto"/>
              <w:bottom w:val="single" w:sz="4" w:space="0" w:color="auto"/>
              <w:right w:val="single" w:sz="4" w:space="0" w:color="auto"/>
            </w:tcBorders>
            <w:shd w:val="clear" w:color="000000" w:fill="FF9F9F"/>
            <w:vAlign w:val="center"/>
            <w:hideMark/>
          </w:tcPr>
          <w:p w14:paraId="58ED5392" w14:textId="77777777" w:rsidR="00C80568" w:rsidRPr="00C80568" w:rsidRDefault="00C80568" w:rsidP="00C80568">
            <w:pPr>
              <w:spacing w:line="240" w:lineRule="auto"/>
              <w:jc w:val="center"/>
              <w:rPr>
                <w:rFonts w:ascii="Calibri" w:eastAsia="Times New Roman" w:hAnsi="Calibri" w:cs="Calibri"/>
                <w:b/>
                <w:bCs/>
                <w:color w:val="000000"/>
              </w:rPr>
            </w:pPr>
            <w:r w:rsidRPr="00C80568">
              <w:rPr>
                <w:rFonts w:ascii="Calibri" w:eastAsia="Times New Roman" w:hAnsi="Calibri" w:cs="Calibri"/>
                <w:b/>
                <w:bCs/>
                <w:color w:val="000000"/>
              </w:rPr>
              <w:t>Governance, Resourcing, and Management</w:t>
            </w:r>
          </w:p>
        </w:tc>
        <w:tc>
          <w:tcPr>
            <w:tcW w:w="210" w:type="pct"/>
            <w:tcBorders>
              <w:top w:val="nil"/>
              <w:left w:val="nil"/>
              <w:bottom w:val="single" w:sz="4" w:space="0" w:color="auto"/>
              <w:right w:val="single" w:sz="4" w:space="0" w:color="auto"/>
            </w:tcBorders>
            <w:shd w:val="clear" w:color="000000" w:fill="FF9F9F"/>
            <w:vAlign w:val="center"/>
            <w:hideMark/>
          </w:tcPr>
          <w:p w14:paraId="23ABF42A"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1</w:t>
            </w:r>
          </w:p>
        </w:tc>
        <w:tc>
          <w:tcPr>
            <w:tcW w:w="982" w:type="pct"/>
            <w:tcBorders>
              <w:top w:val="nil"/>
              <w:left w:val="nil"/>
              <w:bottom w:val="single" w:sz="4" w:space="0" w:color="auto"/>
              <w:right w:val="single" w:sz="4" w:space="0" w:color="auto"/>
            </w:tcBorders>
            <w:shd w:val="clear" w:color="000000" w:fill="FF9F9F"/>
            <w:vAlign w:val="center"/>
            <w:hideMark/>
          </w:tcPr>
          <w:p w14:paraId="16C2A6DC"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Policy Development</w:t>
            </w:r>
          </w:p>
        </w:tc>
        <w:tc>
          <w:tcPr>
            <w:tcW w:w="340" w:type="pct"/>
            <w:tcBorders>
              <w:top w:val="nil"/>
              <w:left w:val="nil"/>
              <w:bottom w:val="single" w:sz="4" w:space="0" w:color="auto"/>
              <w:right w:val="single" w:sz="4" w:space="0" w:color="auto"/>
            </w:tcBorders>
            <w:shd w:val="clear" w:color="auto" w:fill="auto"/>
            <w:noWrap/>
            <w:vAlign w:val="center"/>
            <w:hideMark/>
          </w:tcPr>
          <w:p w14:paraId="4487F0DB"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2E2FDE79"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7D76846C"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Has applied organizational digital preservation policies to implementation in practice, and develops policies relating to the organization's digital preservation program</w:t>
            </w:r>
          </w:p>
        </w:tc>
      </w:tr>
      <w:tr w:rsidR="00C80568" w:rsidRPr="00C80568" w14:paraId="0A004549" w14:textId="77777777" w:rsidTr="00613463">
        <w:trPr>
          <w:cantSplit/>
          <w:trHeight w:val="900"/>
        </w:trPr>
        <w:tc>
          <w:tcPr>
            <w:tcW w:w="839" w:type="pct"/>
            <w:vMerge/>
            <w:tcBorders>
              <w:top w:val="nil"/>
              <w:left w:val="single" w:sz="4" w:space="0" w:color="auto"/>
              <w:bottom w:val="single" w:sz="4" w:space="0" w:color="auto"/>
              <w:right w:val="single" w:sz="4" w:space="0" w:color="auto"/>
            </w:tcBorders>
            <w:vAlign w:val="center"/>
            <w:hideMark/>
          </w:tcPr>
          <w:p w14:paraId="44CF0D0E"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F9F9F"/>
            <w:vAlign w:val="center"/>
            <w:hideMark/>
          </w:tcPr>
          <w:p w14:paraId="5634B4D7"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2</w:t>
            </w:r>
          </w:p>
        </w:tc>
        <w:tc>
          <w:tcPr>
            <w:tcW w:w="982" w:type="pct"/>
            <w:tcBorders>
              <w:top w:val="nil"/>
              <w:left w:val="nil"/>
              <w:bottom w:val="single" w:sz="4" w:space="0" w:color="auto"/>
              <w:right w:val="single" w:sz="4" w:space="0" w:color="auto"/>
            </w:tcBorders>
            <w:shd w:val="clear" w:color="000000" w:fill="FF9F9F"/>
            <w:vAlign w:val="center"/>
            <w:hideMark/>
          </w:tcPr>
          <w:p w14:paraId="3F0A8561"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Risk Management</w:t>
            </w:r>
          </w:p>
        </w:tc>
        <w:tc>
          <w:tcPr>
            <w:tcW w:w="340" w:type="pct"/>
            <w:tcBorders>
              <w:top w:val="nil"/>
              <w:left w:val="nil"/>
              <w:bottom w:val="single" w:sz="4" w:space="0" w:color="auto"/>
              <w:right w:val="single" w:sz="4" w:space="0" w:color="auto"/>
            </w:tcBorders>
            <w:shd w:val="clear" w:color="auto" w:fill="auto"/>
            <w:noWrap/>
            <w:vAlign w:val="center"/>
            <w:hideMark/>
          </w:tcPr>
          <w:p w14:paraId="11ABBBF3"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0456075D"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73652318" w14:textId="25A400A6"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Applies risk management techniques to assess risks and vulnerabilities of digital content and technologies to inform the priorities of the digital preservation program</w:t>
            </w:r>
          </w:p>
        </w:tc>
      </w:tr>
      <w:tr w:rsidR="00C80568" w:rsidRPr="00C80568" w14:paraId="624FB51D" w14:textId="77777777" w:rsidTr="00613463">
        <w:trPr>
          <w:cantSplit/>
          <w:trHeight w:val="1200"/>
        </w:trPr>
        <w:tc>
          <w:tcPr>
            <w:tcW w:w="839" w:type="pct"/>
            <w:vMerge/>
            <w:tcBorders>
              <w:top w:val="nil"/>
              <w:left w:val="single" w:sz="4" w:space="0" w:color="auto"/>
              <w:bottom w:val="single" w:sz="4" w:space="0" w:color="auto"/>
              <w:right w:val="single" w:sz="4" w:space="0" w:color="auto"/>
            </w:tcBorders>
            <w:vAlign w:val="center"/>
            <w:hideMark/>
          </w:tcPr>
          <w:p w14:paraId="476EB4D8"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F9F9F"/>
            <w:vAlign w:val="center"/>
            <w:hideMark/>
          </w:tcPr>
          <w:p w14:paraId="7D1CAC90"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3</w:t>
            </w:r>
          </w:p>
        </w:tc>
        <w:tc>
          <w:tcPr>
            <w:tcW w:w="982" w:type="pct"/>
            <w:tcBorders>
              <w:top w:val="nil"/>
              <w:left w:val="nil"/>
              <w:bottom w:val="single" w:sz="4" w:space="0" w:color="auto"/>
              <w:right w:val="single" w:sz="4" w:space="0" w:color="auto"/>
            </w:tcBorders>
            <w:shd w:val="clear" w:color="000000" w:fill="FF9F9F"/>
            <w:vAlign w:val="center"/>
            <w:hideMark/>
          </w:tcPr>
          <w:p w14:paraId="5015184F"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Resource Management</w:t>
            </w:r>
          </w:p>
        </w:tc>
        <w:tc>
          <w:tcPr>
            <w:tcW w:w="340" w:type="pct"/>
            <w:tcBorders>
              <w:top w:val="nil"/>
              <w:left w:val="nil"/>
              <w:bottom w:val="single" w:sz="4" w:space="0" w:color="auto"/>
              <w:right w:val="single" w:sz="4" w:space="0" w:color="auto"/>
            </w:tcBorders>
            <w:shd w:val="clear" w:color="auto" w:fill="auto"/>
            <w:noWrap/>
            <w:vAlign w:val="center"/>
            <w:hideMark/>
          </w:tcPr>
          <w:p w14:paraId="54525C40"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76A9DD03"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6D90AD27"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Effectively manages budgets and undertakes financial planning for the digital preservation program, and has developed or contributed to business cases for digital preservation</w:t>
            </w:r>
          </w:p>
        </w:tc>
      </w:tr>
      <w:tr w:rsidR="00C80568" w:rsidRPr="00C80568" w14:paraId="0CDA9183" w14:textId="77777777" w:rsidTr="00613463">
        <w:trPr>
          <w:cantSplit/>
          <w:trHeight w:val="900"/>
        </w:trPr>
        <w:tc>
          <w:tcPr>
            <w:tcW w:w="839" w:type="pct"/>
            <w:vMerge/>
            <w:tcBorders>
              <w:top w:val="nil"/>
              <w:left w:val="single" w:sz="4" w:space="0" w:color="auto"/>
              <w:bottom w:val="single" w:sz="4" w:space="0" w:color="auto"/>
              <w:right w:val="single" w:sz="4" w:space="0" w:color="auto"/>
            </w:tcBorders>
            <w:vAlign w:val="center"/>
            <w:hideMark/>
          </w:tcPr>
          <w:p w14:paraId="26E414CB"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F9F9F"/>
            <w:vAlign w:val="center"/>
            <w:hideMark/>
          </w:tcPr>
          <w:p w14:paraId="16FE81DF"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4</w:t>
            </w:r>
          </w:p>
        </w:tc>
        <w:tc>
          <w:tcPr>
            <w:tcW w:w="982" w:type="pct"/>
            <w:tcBorders>
              <w:top w:val="nil"/>
              <w:left w:val="nil"/>
              <w:bottom w:val="single" w:sz="4" w:space="0" w:color="auto"/>
              <w:right w:val="single" w:sz="4" w:space="0" w:color="auto"/>
            </w:tcBorders>
            <w:shd w:val="clear" w:color="000000" w:fill="FF9F9F"/>
            <w:vAlign w:val="center"/>
            <w:hideMark/>
          </w:tcPr>
          <w:p w14:paraId="3CC8FE7C"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Staff Management</w:t>
            </w:r>
          </w:p>
        </w:tc>
        <w:tc>
          <w:tcPr>
            <w:tcW w:w="340" w:type="pct"/>
            <w:tcBorders>
              <w:top w:val="nil"/>
              <w:left w:val="nil"/>
              <w:bottom w:val="single" w:sz="4" w:space="0" w:color="auto"/>
              <w:right w:val="single" w:sz="4" w:space="0" w:color="auto"/>
            </w:tcBorders>
            <w:shd w:val="clear" w:color="auto" w:fill="auto"/>
            <w:noWrap/>
            <w:vAlign w:val="center"/>
            <w:hideMark/>
          </w:tcPr>
          <w:p w14:paraId="05D7B6EA"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3F90D6A5"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32875527"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Manages, motivates, and supports staff through line management and team building, can lead recruitment of new staff</w:t>
            </w:r>
          </w:p>
        </w:tc>
      </w:tr>
      <w:tr w:rsidR="00C80568" w:rsidRPr="00C80568" w14:paraId="5102581B"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380D07FC"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F9F9F"/>
            <w:vAlign w:val="center"/>
            <w:hideMark/>
          </w:tcPr>
          <w:p w14:paraId="66F82DA1"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5</w:t>
            </w:r>
          </w:p>
        </w:tc>
        <w:tc>
          <w:tcPr>
            <w:tcW w:w="982" w:type="pct"/>
            <w:tcBorders>
              <w:top w:val="nil"/>
              <w:left w:val="nil"/>
              <w:bottom w:val="single" w:sz="4" w:space="0" w:color="auto"/>
              <w:right w:val="single" w:sz="4" w:space="0" w:color="auto"/>
            </w:tcBorders>
            <w:shd w:val="clear" w:color="000000" w:fill="FF9F9F"/>
            <w:vAlign w:val="center"/>
            <w:hideMark/>
          </w:tcPr>
          <w:p w14:paraId="59FB6695"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Strategy and Planning</w:t>
            </w:r>
          </w:p>
        </w:tc>
        <w:tc>
          <w:tcPr>
            <w:tcW w:w="340" w:type="pct"/>
            <w:tcBorders>
              <w:top w:val="nil"/>
              <w:left w:val="nil"/>
              <w:bottom w:val="single" w:sz="4" w:space="0" w:color="auto"/>
              <w:right w:val="single" w:sz="4" w:space="0" w:color="auto"/>
            </w:tcBorders>
            <w:shd w:val="clear" w:color="auto" w:fill="auto"/>
            <w:noWrap/>
            <w:vAlign w:val="center"/>
            <w:hideMark/>
          </w:tcPr>
          <w:p w14:paraId="1C9B4DF4"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0D0A4BBB"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5F08005A"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 xml:space="preserve">Provides strategic direction for the digital preservation program, including managing steering or working groups </w:t>
            </w:r>
          </w:p>
        </w:tc>
      </w:tr>
      <w:tr w:rsidR="00C80568" w:rsidRPr="00C80568" w14:paraId="18EB0D3C" w14:textId="77777777" w:rsidTr="00613463">
        <w:trPr>
          <w:cantSplit/>
          <w:trHeight w:val="1500"/>
        </w:trPr>
        <w:tc>
          <w:tcPr>
            <w:tcW w:w="839" w:type="pct"/>
            <w:vMerge/>
            <w:tcBorders>
              <w:top w:val="nil"/>
              <w:left w:val="single" w:sz="4" w:space="0" w:color="auto"/>
              <w:bottom w:val="single" w:sz="4" w:space="0" w:color="auto"/>
              <w:right w:val="single" w:sz="4" w:space="0" w:color="auto"/>
            </w:tcBorders>
            <w:vAlign w:val="center"/>
            <w:hideMark/>
          </w:tcPr>
          <w:p w14:paraId="61FAF4B9"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F9F9F"/>
            <w:vAlign w:val="center"/>
            <w:hideMark/>
          </w:tcPr>
          <w:p w14:paraId="738B5324"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6</w:t>
            </w:r>
          </w:p>
        </w:tc>
        <w:tc>
          <w:tcPr>
            <w:tcW w:w="982" w:type="pct"/>
            <w:tcBorders>
              <w:top w:val="nil"/>
              <w:left w:val="nil"/>
              <w:bottom w:val="single" w:sz="4" w:space="0" w:color="auto"/>
              <w:right w:val="single" w:sz="4" w:space="0" w:color="auto"/>
            </w:tcBorders>
            <w:shd w:val="clear" w:color="000000" w:fill="FF9F9F"/>
            <w:vAlign w:val="center"/>
            <w:hideMark/>
          </w:tcPr>
          <w:p w14:paraId="43018889"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Analysis and Decision-Making</w:t>
            </w:r>
          </w:p>
        </w:tc>
        <w:tc>
          <w:tcPr>
            <w:tcW w:w="340" w:type="pct"/>
            <w:tcBorders>
              <w:top w:val="nil"/>
              <w:left w:val="nil"/>
              <w:bottom w:val="single" w:sz="4" w:space="0" w:color="auto"/>
              <w:right w:val="single" w:sz="4" w:space="0" w:color="auto"/>
            </w:tcBorders>
            <w:shd w:val="clear" w:color="auto" w:fill="auto"/>
            <w:noWrap/>
            <w:vAlign w:val="center"/>
            <w:hideMark/>
          </w:tcPr>
          <w:p w14:paraId="2CDFBE5F"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1E970ABF"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2383F8C3"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Manages changing priorities and plans deliverable actions based on assessments of issues and requirements, delegates tasks where needed, making decisions that take into consideration relevant factors such as policy, resources, risks, and staff</w:t>
            </w:r>
          </w:p>
        </w:tc>
      </w:tr>
      <w:tr w:rsidR="00C80568" w:rsidRPr="00C80568" w14:paraId="74A23919" w14:textId="77777777" w:rsidTr="00613463">
        <w:trPr>
          <w:cantSplit/>
          <w:trHeight w:val="900"/>
        </w:trPr>
        <w:tc>
          <w:tcPr>
            <w:tcW w:w="839" w:type="pct"/>
            <w:vMerge w:val="restart"/>
            <w:tcBorders>
              <w:top w:val="nil"/>
              <w:left w:val="single" w:sz="4" w:space="0" w:color="auto"/>
              <w:bottom w:val="single" w:sz="4" w:space="0" w:color="auto"/>
              <w:right w:val="single" w:sz="4" w:space="0" w:color="auto"/>
            </w:tcBorders>
            <w:shd w:val="clear" w:color="000000" w:fill="FDE469"/>
            <w:vAlign w:val="center"/>
            <w:hideMark/>
          </w:tcPr>
          <w:p w14:paraId="0C6779B6" w14:textId="77777777" w:rsidR="00C80568" w:rsidRPr="00C80568" w:rsidRDefault="00C80568" w:rsidP="00C80568">
            <w:pPr>
              <w:spacing w:line="240" w:lineRule="auto"/>
              <w:jc w:val="center"/>
              <w:rPr>
                <w:rFonts w:ascii="Calibri" w:eastAsia="Times New Roman" w:hAnsi="Calibri" w:cs="Calibri"/>
                <w:b/>
                <w:bCs/>
                <w:color w:val="000000"/>
              </w:rPr>
            </w:pPr>
            <w:r w:rsidRPr="00C80568">
              <w:rPr>
                <w:rFonts w:ascii="Calibri" w:eastAsia="Times New Roman" w:hAnsi="Calibri" w:cs="Calibri"/>
                <w:b/>
                <w:bCs/>
                <w:color w:val="000000"/>
              </w:rPr>
              <w:t>Communications and Advocacy</w:t>
            </w:r>
          </w:p>
        </w:tc>
        <w:tc>
          <w:tcPr>
            <w:tcW w:w="210" w:type="pct"/>
            <w:tcBorders>
              <w:top w:val="nil"/>
              <w:left w:val="nil"/>
              <w:bottom w:val="single" w:sz="4" w:space="0" w:color="auto"/>
              <w:right w:val="single" w:sz="4" w:space="0" w:color="auto"/>
            </w:tcBorders>
            <w:shd w:val="clear" w:color="000000" w:fill="FDE469"/>
            <w:vAlign w:val="center"/>
            <w:hideMark/>
          </w:tcPr>
          <w:p w14:paraId="78B4F675"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7</w:t>
            </w:r>
          </w:p>
        </w:tc>
        <w:tc>
          <w:tcPr>
            <w:tcW w:w="982" w:type="pct"/>
            <w:tcBorders>
              <w:top w:val="nil"/>
              <w:left w:val="nil"/>
              <w:bottom w:val="single" w:sz="4" w:space="0" w:color="auto"/>
              <w:right w:val="single" w:sz="4" w:space="0" w:color="auto"/>
            </w:tcBorders>
            <w:shd w:val="clear" w:color="000000" w:fill="FDE469"/>
            <w:vAlign w:val="center"/>
            <w:hideMark/>
          </w:tcPr>
          <w:p w14:paraId="515FE150"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Effective Communication</w:t>
            </w:r>
          </w:p>
        </w:tc>
        <w:tc>
          <w:tcPr>
            <w:tcW w:w="340" w:type="pct"/>
            <w:tcBorders>
              <w:top w:val="nil"/>
              <w:left w:val="nil"/>
              <w:bottom w:val="single" w:sz="4" w:space="0" w:color="auto"/>
              <w:right w:val="single" w:sz="4" w:space="0" w:color="auto"/>
            </w:tcBorders>
            <w:shd w:val="clear" w:color="auto" w:fill="auto"/>
            <w:noWrap/>
            <w:vAlign w:val="center"/>
            <w:hideMark/>
          </w:tcPr>
          <w:p w14:paraId="665388CF"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2DB469BB"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7D49006C" w14:textId="1FB994E8"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Communicates effectively to a range of audiences, both verbally and in written formats, including presentations,</w:t>
            </w:r>
            <w:r>
              <w:rPr>
                <w:rFonts w:ascii="Calibri" w:eastAsia="Times New Roman" w:hAnsi="Calibri" w:cs="Calibri"/>
                <w:color w:val="000000"/>
              </w:rPr>
              <w:t xml:space="preserve"> </w:t>
            </w:r>
            <w:r w:rsidRPr="00C80568">
              <w:rPr>
                <w:rFonts w:ascii="Calibri" w:eastAsia="Times New Roman" w:hAnsi="Calibri" w:cs="Calibri"/>
                <w:color w:val="000000"/>
              </w:rPr>
              <w:t>reports, conference papers, and publications</w:t>
            </w:r>
          </w:p>
        </w:tc>
      </w:tr>
      <w:tr w:rsidR="00C80568" w:rsidRPr="00C80568" w14:paraId="3B2E0795" w14:textId="77777777" w:rsidTr="00613463">
        <w:trPr>
          <w:cantSplit/>
          <w:trHeight w:val="356"/>
        </w:trPr>
        <w:tc>
          <w:tcPr>
            <w:tcW w:w="839" w:type="pct"/>
            <w:vMerge/>
            <w:tcBorders>
              <w:top w:val="nil"/>
              <w:left w:val="single" w:sz="4" w:space="0" w:color="auto"/>
              <w:bottom w:val="single" w:sz="4" w:space="0" w:color="auto"/>
              <w:right w:val="single" w:sz="4" w:space="0" w:color="auto"/>
            </w:tcBorders>
            <w:vAlign w:val="center"/>
            <w:hideMark/>
          </w:tcPr>
          <w:p w14:paraId="0E757CAE"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DE469"/>
            <w:vAlign w:val="center"/>
            <w:hideMark/>
          </w:tcPr>
          <w:p w14:paraId="4C3CD7C8"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8</w:t>
            </w:r>
          </w:p>
        </w:tc>
        <w:tc>
          <w:tcPr>
            <w:tcW w:w="982" w:type="pct"/>
            <w:tcBorders>
              <w:top w:val="nil"/>
              <w:left w:val="nil"/>
              <w:bottom w:val="single" w:sz="4" w:space="0" w:color="auto"/>
              <w:right w:val="single" w:sz="4" w:space="0" w:color="auto"/>
            </w:tcBorders>
            <w:shd w:val="clear" w:color="000000" w:fill="FDE469"/>
            <w:vAlign w:val="center"/>
            <w:hideMark/>
          </w:tcPr>
          <w:p w14:paraId="552EF2D0"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Collaboration and Teamwork</w:t>
            </w:r>
          </w:p>
        </w:tc>
        <w:tc>
          <w:tcPr>
            <w:tcW w:w="340" w:type="pct"/>
            <w:tcBorders>
              <w:top w:val="nil"/>
              <w:left w:val="nil"/>
              <w:bottom w:val="single" w:sz="4" w:space="0" w:color="auto"/>
              <w:right w:val="single" w:sz="4" w:space="0" w:color="auto"/>
            </w:tcBorders>
            <w:shd w:val="clear" w:color="auto" w:fill="auto"/>
            <w:noWrap/>
            <w:vAlign w:val="center"/>
            <w:hideMark/>
          </w:tcPr>
          <w:p w14:paraId="052609A1"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1F4C26D4"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477A557A"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Liaises with a range of colleagues across departments to identify issues and implement solutions, participates in steering and working groups</w:t>
            </w:r>
          </w:p>
        </w:tc>
      </w:tr>
      <w:tr w:rsidR="00C80568" w:rsidRPr="00C80568" w14:paraId="59CCF13B"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6FE5A5EF"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DE469"/>
            <w:vAlign w:val="center"/>
            <w:hideMark/>
          </w:tcPr>
          <w:p w14:paraId="581BB49D"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9</w:t>
            </w:r>
          </w:p>
        </w:tc>
        <w:tc>
          <w:tcPr>
            <w:tcW w:w="982" w:type="pct"/>
            <w:tcBorders>
              <w:top w:val="nil"/>
              <w:left w:val="nil"/>
              <w:bottom w:val="single" w:sz="4" w:space="0" w:color="auto"/>
              <w:right w:val="single" w:sz="4" w:space="0" w:color="auto"/>
            </w:tcBorders>
            <w:shd w:val="clear" w:color="000000" w:fill="FDE469"/>
            <w:vAlign w:val="center"/>
            <w:hideMark/>
          </w:tcPr>
          <w:p w14:paraId="39ECCF5D"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Stakeholder Analysis and Engagement</w:t>
            </w:r>
          </w:p>
        </w:tc>
        <w:tc>
          <w:tcPr>
            <w:tcW w:w="340" w:type="pct"/>
            <w:tcBorders>
              <w:top w:val="nil"/>
              <w:left w:val="nil"/>
              <w:bottom w:val="single" w:sz="4" w:space="0" w:color="auto"/>
              <w:right w:val="single" w:sz="4" w:space="0" w:color="auto"/>
            </w:tcBorders>
            <w:shd w:val="clear" w:color="auto" w:fill="auto"/>
            <w:noWrap/>
            <w:vAlign w:val="center"/>
            <w:hideMark/>
          </w:tcPr>
          <w:p w14:paraId="4CDC04F1"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2FB66971"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03F7F05E"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 xml:space="preserve">Can identify key stakeholders, and has undertaken and applied findings of stakeholder analysis </w:t>
            </w:r>
          </w:p>
        </w:tc>
      </w:tr>
      <w:tr w:rsidR="00C80568" w:rsidRPr="00C80568" w14:paraId="11ED6025"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264F4F49"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DE469"/>
            <w:vAlign w:val="center"/>
            <w:hideMark/>
          </w:tcPr>
          <w:p w14:paraId="4BA157BF"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10</w:t>
            </w:r>
          </w:p>
        </w:tc>
        <w:tc>
          <w:tcPr>
            <w:tcW w:w="982" w:type="pct"/>
            <w:tcBorders>
              <w:top w:val="nil"/>
              <w:left w:val="nil"/>
              <w:bottom w:val="single" w:sz="4" w:space="0" w:color="auto"/>
              <w:right w:val="single" w:sz="4" w:space="0" w:color="auto"/>
            </w:tcBorders>
            <w:shd w:val="clear" w:color="000000" w:fill="FDE469"/>
            <w:vAlign w:val="center"/>
            <w:hideMark/>
          </w:tcPr>
          <w:p w14:paraId="07B00505"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User Analysis and Engagement</w:t>
            </w:r>
          </w:p>
        </w:tc>
        <w:tc>
          <w:tcPr>
            <w:tcW w:w="340" w:type="pct"/>
            <w:tcBorders>
              <w:top w:val="nil"/>
              <w:left w:val="nil"/>
              <w:bottom w:val="single" w:sz="4" w:space="0" w:color="auto"/>
              <w:right w:val="single" w:sz="4" w:space="0" w:color="auto"/>
            </w:tcBorders>
            <w:shd w:val="clear" w:color="auto" w:fill="auto"/>
            <w:noWrap/>
            <w:vAlign w:val="center"/>
            <w:hideMark/>
          </w:tcPr>
          <w:p w14:paraId="06BD4100"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2573489C"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52B55792"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Can identify key user groups, and has undertaken or applied findings of user needs analysis</w:t>
            </w:r>
          </w:p>
        </w:tc>
      </w:tr>
      <w:tr w:rsidR="00C80568" w:rsidRPr="00C80568" w14:paraId="34CC327B" w14:textId="77777777" w:rsidTr="00613463">
        <w:trPr>
          <w:cantSplit/>
          <w:trHeight w:val="900"/>
        </w:trPr>
        <w:tc>
          <w:tcPr>
            <w:tcW w:w="839" w:type="pct"/>
            <w:vMerge/>
            <w:tcBorders>
              <w:top w:val="nil"/>
              <w:left w:val="single" w:sz="4" w:space="0" w:color="auto"/>
              <w:bottom w:val="single" w:sz="4" w:space="0" w:color="auto"/>
              <w:right w:val="single" w:sz="4" w:space="0" w:color="auto"/>
            </w:tcBorders>
            <w:vAlign w:val="center"/>
            <w:hideMark/>
          </w:tcPr>
          <w:p w14:paraId="5A8E38B1"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DE469"/>
            <w:vAlign w:val="center"/>
            <w:hideMark/>
          </w:tcPr>
          <w:p w14:paraId="1D21C28F"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11</w:t>
            </w:r>
          </w:p>
        </w:tc>
        <w:tc>
          <w:tcPr>
            <w:tcW w:w="982" w:type="pct"/>
            <w:tcBorders>
              <w:top w:val="nil"/>
              <w:left w:val="nil"/>
              <w:bottom w:val="single" w:sz="4" w:space="0" w:color="auto"/>
              <w:right w:val="single" w:sz="4" w:space="0" w:color="auto"/>
            </w:tcBorders>
            <w:shd w:val="clear" w:color="000000" w:fill="FDE469"/>
            <w:vAlign w:val="center"/>
            <w:hideMark/>
          </w:tcPr>
          <w:p w14:paraId="33319CC6"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Advocacy</w:t>
            </w:r>
          </w:p>
        </w:tc>
        <w:tc>
          <w:tcPr>
            <w:tcW w:w="340" w:type="pct"/>
            <w:tcBorders>
              <w:top w:val="nil"/>
              <w:left w:val="nil"/>
              <w:bottom w:val="single" w:sz="4" w:space="0" w:color="auto"/>
              <w:right w:val="single" w:sz="4" w:space="0" w:color="auto"/>
            </w:tcBorders>
            <w:shd w:val="clear" w:color="auto" w:fill="auto"/>
            <w:noWrap/>
            <w:vAlign w:val="center"/>
            <w:hideMark/>
          </w:tcPr>
          <w:p w14:paraId="115833F2"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7FCD807C"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09C71062"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Advocates for digital preservation to a broad range of audiences and can develop business cases for additional resources needed to support the program</w:t>
            </w:r>
          </w:p>
        </w:tc>
      </w:tr>
      <w:tr w:rsidR="00C80568" w:rsidRPr="00C80568" w14:paraId="17FBE268" w14:textId="77777777" w:rsidTr="00613463">
        <w:trPr>
          <w:cantSplit/>
          <w:trHeight w:val="900"/>
        </w:trPr>
        <w:tc>
          <w:tcPr>
            <w:tcW w:w="839" w:type="pct"/>
            <w:vMerge/>
            <w:tcBorders>
              <w:top w:val="nil"/>
              <w:left w:val="single" w:sz="4" w:space="0" w:color="auto"/>
              <w:bottom w:val="single" w:sz="4" w:space="0" w:color="auto"/>
              <w:right w:val="single" w:sz="4" w:space="0" w:color="auto"/>
            </w:tcBorders>
            <w:vAlign w:val="center"/>
            <w:hideMark/>
          </w:tcPr>
          <w:p w14:paraId="18B958FA"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DE469"/>
            <w:vAlign w:val="center"/>
            <w:hideMark/>
          </w:tcPr>
          <w:p w14:paraId="19971C74"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12</w:t>
            </w:r>
          </w:p>
        </w:tc>
        <w:tc>
          <w:tcPr>
            <w:tcW w:w="982" w:type="pct"/>
            <w:tcBorders>
              <w:top w:val="nil"/>
              <w:left w:val="nil"/>
              <w:bottom w:val="single" w:sz="4" w:space="0" w:color="auto"/>
              <w:right w:val="single" w:sz="4" w:space="0" w:color="auto"/>
            </w:tcBorders>
            <w:shd w:val="clear" w:color="000000" w:fill="FDE469"/>
            <w:vAlign w:val="center"/>
            <w:hideMark/>
          </w:tcPr>
          <w:p w14:paraId="552B595E"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Training</w:t>
            </w:r>
          </w:p>
        </w:tc>
        <w:tc>
          <w:tcPr>
            <w:tcW w:w="340" w:type="pct"/>
            <w:tcBorders>
              <w:top w:val="nil"/>
              <w:left w:val="nil"/>
              <w:bottom w:val="single" w:sz="4" w:space="0" w:color="auto"/>
              <w:right w:val="single" w:sz="4" w:space="0" w:color="auto"/>
            </w:tcBorders>
            <w:shd w:val="clear" w:color="auto" w:fill="auto"/>
            <w:noWrap/>
            <w:vAlign w:val="center"/>
            <w:hideMark/>
          </w:tcPr>
          <w:p w14:paraId="7B105312"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3C4FD745"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5E02441D"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Provides guidance and delivers training to improve knowledge or skills for different digital preservation processes and procedures across the organization</w:t>
            </w:r>
          </w:p>
        </w:tc>
      </w:tr>
      <w:tr w:rsidR="00C80568" w:rsidRPr="00C80568" w14:paraId="1372E65C"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35296967" w14:textId="77777777" w:rsidR="00C80568" w:rsidRPr="00C80568" w:rsidRDefault="00C80568" w:rsidP="00C80568">
            <w:pPr>
              <w:spacing w:line="240" w:lineRule="auto"/>
              <w:jc w:val="center"/>
              <w:rPr>
                <w:rFonts w:ascii="Calibri" w:eastAsia="Times New Roman" w:hAnsi="Calibri" w:cs="Calibri"/>
                <w:b/>
                <w:bCs/>
                <w:color w:val="000000"/>
              </w:rPr>
            </w:pPr>
          </w:p>
        </w:tc>
        <w:tc>
          <w:tcPr>
            <w:tcW w:w="210" w:type="pct"/>
            <w:tcBorders>
              <w:top w:val="nil"/>
              <w:left w:val="nil"/>
              <w:bottom w:val="single" w:sz="4" w:space="0" w:color="auto"/>
              <w:right w:val="single" w:sz="4" w:space="0" w:color="auto"/>
            </w:tcBorders>
            <w:shd w:val="clear" w:color="000000" w:fill="FDE469"/>
            <w:vAlign w:val="center"/>
            <w:hideMark/>
          </w:tcPr>
          <w:p w14:paraId="10BD620C"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13</w:t>
            </w:r>
          </w:p>
        </w:tc>
        <w:tc>
          <w:tcPr>
            <w:tcW w:w="982" w:type="pct"/>
            <w:tcBorders>
              <w:top w:val="nil"/>
              <w:left w:val="nil"/>
              <w:bottom w:val="single" w:sz="4" w:space="0" w:color="auto"/>
              <w:right w:val="single" w:sz="4" w:space="0" w:color="auto"/>
            </w:tcBorders>
            <w:shd w:val="clear" w:color="000000" w:fill="FDE469"/>
            <w:vAlign w:val="center"/>
            <w:hideMark/>
          </w:tcPr>
          <w:p w14:paraId="4C6720BA"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Producing Documentation</w:t>
            </w:r>
          </w:p>
        </w:tc>
        <w:tc>
          <w:tcPr>
            <w:tcW w:w="340" w:type="pct"/>
            <w:tcBorders>
              <w:top w:val="nil"/>
              <w:left w:val="nil"/>
              <w:bottom w:val="single" w:sz="4" w:space="0" w:color="auto"/>
              <w:right w:val="single" w:sz="4" w:space="0" w:color="auto"/>
            </w:tcBorders>
            <w:shd w:val="clear" w:color="auto" w:fill="auto"/>
            <w:noWrap/>
            <w:vAlign w:val="center"/>
            <w:hideMark/>
          </w:tcPr>
          <w:p w14:paraId="2B5F6C85"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06D2E1D8" w14:textId="77777777" w:rsidR="00C80568" w:rsidRPr="00C80568" w:rsidRDefault="00C80568" w:rsidP="00C80568">
            <w:pPr>
              <w:spacing w:line="240" w:lineRule="auto"/>
              <w:jc w:val="center"/>
              <w:rPr>
                <w:rFonts w:ascii="Calibri" w:eastAsia="Times New Roman" w:hAnsi="Calibri" w:cs="Calibri"/>
                <w:color w:val="000000"/>
              </w:rPr>
            </w:pPr>
            <w:r w:rsidRPr="00C80568">
              <w:rPr>
                <w:rFonts w:ascii="Calibri" w:eastAsia="Times New Roman" w:hAnsi="Calibri" w:cs="Calibri"/>
                <w:color w:val="000000"/>
              </w:rPr>
              <w:t>Advanced</w:t>
            </w:r>
          </w:p>
        </w:tc>
        <w:tc>
          <w:tcPr>
            <w:tcW w:w="1965" w:type="pct"/>
            <w:tcBorders>
              <w:top w:val="nil"/>
              <w:left w:val="nil"/>
              <w:bottom w:val="single" w:sz="4" w:space="0" w:color="auto"/>
              <w:right w:val="single" w:sz="4" w:space="0" w:color="auto"/>
            </w:tcBorders>
            <w:shd w:val="clear" w:color="auto" w:fill="auto"/>
            <w:vAlign w:val="center"/>
            <w:hideMark/>
          </w:tcPr>
          <w:p w14:paraId="632EBF6F" w14:textId="77777777" w:rsidR="00C80568" w:rsidRPr="00C80568" w:rsidRDefault="00C80568" w:rsidP="00C80568">
            <w:pPr>
              <w:spacing w:line="240" w:lineRule="auto"/>
              <w:rPr>
                <w:rFonts w:ascii="Calibri" w:eastAsia="Times New Roman" w:hAnsi="Calibri" w:cs="Calibri"/>
                <w:color w:val="000000"/>
              </w:rPr>
            </w:pPr>
            <w:r w:rsidRPr="00C80568">
              <w:rPr>
                <w:rFonts w:ascii="Calibri" w:eastAsia="Times New Roman" w:hAnsi="Calibri" w:cs="Calibri"/>
                <w:color w:val="000000"/>
              </w:rPr>
              <w:t>Manages, monitors and analyses documentation required for the digital preservation program</w:t>
            </w:r>
          </w:p>
        </w:tc>
      </w:tr>
      <w:tr w:rsidR="00613463" w:rsidRPr="00C80568" w14:paraId="5A1B4A78" w14:textId="77777777" w:rsidTr="00613463">
        <w:trPr>
          <w:cantSplit/>
          <w:trHeight w:val="300"/>
        </w:trPr>
        <w:tc>
          <w:tcPr>
            <w:tcW w:w="839" w:type="pct"/>
            <w:vMerge w:val="restart"/>
            <w:tcBorders>
              <w:top w:val="nil"/>
              <w:left w:val="single" w:sz="4" w:space="0" w:color="auto"/>
              <w:bottom w:val="single" w:sz="4" w:space="0" w:color="auto"/>
              <w:right w:val="single" w:sz="4" w:space="0" w:color="auto"/>
            </w:tcBorders>
            <w:shd w:val="clear" w:color="000000" w:fill="A8D08D"/>
            <w:vAlign w:val="center"/>
            <w:hideMark/>
          </w:tcPr>
          <w:p w14:paraId="39FC1384" w14:textId="77777777" w:rsidR="00613463" w:rsidRPr="00C80568" w:rsidRDefault="00613463" w:rsidP="00613463">
            <w:pPr>
              <w:spacing w:line="240" w:lineRule="auto"/>
              <w:jc w:val="center"/>
              <w:rPr>
                <w:rFonts w:ascii="Calibri" w:eastAsia="Times New Roman" w:hAnsi="Calibri" w:cs="Calibri"/>
                <w:b/>
                <w:bCs/>
                <w:color w:val="000000"/>
              </w:rPr>
            </w:pPr>
            <w:r w:rsidRPr="00C80568">
              <w:rPr>
                <w:rFonts w:ascii="Calibri" w:eastAsia="Times New Roman" w:hAnsi="Calibri" w:cs="Calibri"/>
                <w:b/>
                <w:bCs/>
                <w:color w:val="000000"/>
              </w:rPr>
              <w:t>Information Technology</w:t>
            </w:r>
          </w:p>
        </w:tc>
        <w:tc>
          <w:tcPr>
            <w:tcW w:w="210" w:type="pct"/>
            <w:tcBorders>
              <w:top w:val="single" w:sz="4" w:space="0" w:color="auto"/>
              <w:left w:val="single" w:sz="4" w:space="0" w:color="auto"/>
              <w:bottom w:val="single" w:sz="4" w:space="0" w:color="auto"/>
              <w:right w:val="single" w:sz="4" w:space="0" w:color="auto"/>
            </w:tcBorders>
            <w:shd w:val="clear" w:color="000000" w:fill="A8D08D"/>
            <w:vAlign w:val="center"/>
            <w:hideMark/>
          </w:tcPr>
          <w:p w14:paraId="16857C5B" w14:textId="5B4BDBD9"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14</w:t>
            </w:r>
          </w:p>
        </w:tc>
        <w:tc>
          <w:tcPr>
            <w:tcW w:w="982" w:type="pct"/>
            <w:tcBorders>
              <w:top w:val="single" w:sz="4" w:space="0" w:color="auto"/>
              <w:left w:val="nil"/>
              <w:bottom w:val="single" w:sz="4" w:space="0" w:color="auto"/>
              <w:right w:val="single" w:sz="4" w:space="0" w:color="auto"/>
            </w:tcBorders>
            <w:shd w:val="clear" w:color="000000" w:fill="A8D08D"/>
            <w:vAlign w:val="center"/>
            <w:hideMark/>
          </w:tcPr>
          <w:p w14:paraId="1A007AE3" w14:textId="4CE1B97D"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General IT Literacy</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F77296A" w14:textId="31629511"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397C7DE8" w14:textId="713D211D"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single" w:sz="4" w:space="0" w:color="auto"/>
              <w:left w:val="nil"/>
              <w:bottom w:val="single" w:sz="4" w:space="0" w:color="auto"/>
              <w:right w:val="single" w:sz="4" w:space="0" w:color="auto"/>
            </w:tcBorders>
            <w:shd w:val="clear" w:color="auto" w:fill="auto"/>
            <w:vAlign w:val="center"/>
            <w:hideMark/>
          </w:tcPr>
          <w:p w14:paraId="77F7022C" w14:textId="2D915D72"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Works with a range of software tools and systems</w:t>
            </w:r>
          </w:p>
        </w:tc>
      </w:tr>
      <w:tr w:rsidR="00613463" w:rsidRPr="00C80568" w14:paraId="1B6819BA" w14:textId="77777777" w:rsidTr="00613463">
        <w:trPr>
          <w:cantSplit/>
          <w:trHeight w:val="900"/>
        </w:trPr>
        <w:tc>
          <w:tcPr>
            <w:tcW w:w="839" w:type="pct"/>
            <w:vMerge/>
            <w:tcBorders>
              <w:top w:val="nil"/>
              <w:left w:val="single" w:sz="4" w:space="0" w:color="auto"/>
              <w:bottom w:val="single" w:sz="4" w:space="0" w:color="auto"/>
              <w:right w:val="single" w:sz="4" w:space="0" w:color="auto"/>
            </w:tcBorders>
            <w:vAlign w:val="center"/>
          </w:tcPr>
          <w:p w14:paraId="5163D708"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A8D08D"/>
            <w:vAlign w:val="center"/>
          </w:tcPr>
          <w:p w14:paraId="7E3D2425" w14:textId="3CBAA299"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15</w:t>
            </w:r>
          </w:p>
        </w:tc>
        <w:tc>
          <w:tcPr>
            <w:tcW w:w="982" w:type="pct"/>
            <w:tcBorders>
              <w:top w:val="nil"/>
              <w:left w:val="nil"/>
              <w:bottom w:val="single" w:sz="4" w:space="0" w:color="auto"/>
              <w:right w:val="single" w:sz="4" w:space="0" w:color="auto"/>
            </w:tcBorders>
            <w:shd w:val="clear" w:color="000000" w:fill="A8D08D"/>
            <w:vAlign w:val="center"/>
          </w:tcPr>
          <w:p w14:paraId="0AA0A245" w14:textId="5EFCACA9"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Computer Programming</w:t>
            </w:r>
          </w:p>
        </w:tc>
        <w:tc>
          <w:tcPr>
            <w:tcW w:w="340" w:type="pct"/>
            <w:tcBorders>
              <w:top w:val="nil"/>
              <w:left w:val="nil"/>
              <w:bottom w:val="single" w:sz="4" w:space="0" w:color="auto"/>
              <w:right w:val="single" w:sz="4" w:space="0" w:color="auto"/>
            </w:tcBorders>
            <w:shd w:val="clear" w:color="auto" w:fill="auto"/>
            <w:noWrap/>
            <w:vAlign w:val="center"/>
          </w:tcPr>
          <w:p w14:paraId="4F7DEA3C" w14:textId="1E78AA82"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tcPr>
          <w:p w14:paraId="2C8FF057" w14:textId="16321246"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Novice</w:t>
            </w:r>
          </w:p>
        </w:tc>
        <w:tc>
          <w:tcPr>
            <w:tcW w:w="1965" w:type="pct"/>
            <w:tcBorders>
              <w:top w:val="nil"/>
              <w:left w:val="nil"/>
              <w:bottom w:val="single" w:sz="4" w:space="0" w:color="auto"/>
              <w:right w:val="single" w:sz="4" w:space="0" w:color="auto"/>
            </w:tcBorders>
            <w:shd w:val="clear" w:color="auto" w:fill="auto"/>
            <w:vAlign w:val="center"/>
          </w:tcPr>
          <w:p w14:paraId="29040CB4" w14:textId="19F3C121"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Aware of how programming is used to support digital preservation at the organization</w:t>
            </w:r>
          </w:p>
        </w:tc>
      </w:tr>
      <w:tr w:rsidR="00613463" w:rsidRPr="00C80568" w14:paraId="413C2844" w14:textId="77777777" w:rsidTr="00613463">
        <w:trPr>
          <w:cantSplit/>
          <w:trHeight w:val="900"/>
        </w:trPr>
        <w:tc>
          <w:tcPr>
            <w:tcW w:w="839" w:type="pct"/>
            <w:vMerge/>
            <w:tcBorders>
              <w:top w:val="nil"/>
              <w:left w:val="single" w:sz="4" w:space="0" w:color="auto"/>
              <w:bottom w:val="single" w:sz="4" w:space="0" w:color="auto"/>
              <w:right w:val="single" w:sz="4" w:space="0" w:color="auto"/>
            </w:tcBorders>
            <w:vAlign w:val="center"/>
            <w:hideMark/>
          </w:tcPr>
          <w:p w14:paraId="6404BA6E"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A8D08D"/>
            <w:vAlign w:val="center"/>
            <w:hideMark/>
          </w:tcPr>
          <w:p w14:paraId="2470E9D3" w14:textId="631BE9F4"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16</w:t>
            </w:r>
          </w:p>
        </w:tc>
        <w:tc>
          <w:tcPr>
            <w:tcW w:w="982" w:type="pct"/>
            <w:tcBorders>
              <w:top w:val="nil"/>
              <w:left w:val="nil"/>
              <w:bottom w:val="single" w:sz="4" w:space="0" w:color="auto"/>
              <w:right w:val="single" w:sz="4" w:space="0" w:color="auto"/>
            </w:tcBorders>
            <w:shd w:val="clear" w:color="000000" w:fill="A8D08D"/>
            <w:vAlign w:val="center"/>
            <w:hideMark/>
          </w:tcPr>
          <w:p w14:paraId="1AC711A8" w14:textId="17A911BC"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System Procurement</w:t>
            </w:r>
          </w:p>
        </w:tc>
        <w:tc>
          <w:tcPr>
            <w:tcW w:w="340" w:type="pct"/>
            <w:tcBorders>
              <w:top w:val="nil"/>
              <w:left w:val="nil"/>
              <w:bottom w:val="single" w:sz="4" w:space="0" w:color="auto"/>
              <w:right w:val="single" w:sz="4" w:space="0" w:color="auto"/>
            </w:tcBorders>
            <w:shd w:val="clear" w:color="auto" w:fill="auto"/>
            <w:noWrap/>
            <w:vAlign w:val="center"/>
            <w:hideMark/>
          </w:tcPr>
          <w:p w14:paraId="61FD10E1" w14:textId="1EBF15B9"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447D6014" w14:textId="5ECD918C"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18DBBF07" w14:textId="36D15DFC"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Inputs to the development, selection, and procurement of a system or service, including requirements analysis and liaising with relevant staff</w:t>
            </w:r>
          </w:p>
        </w:tc>
      </w:tr>
      <w:tr w:rsidR="00613463" w:rsidRPr="00C80568" w14:paraId="1876E070" w14:textId="77777777" w:rsidTr="00613463">
        <w:trPr>
          <w:cantSplit/>
          <w:trHeight w:val="300"/>
        </w:trPr>
        <w:tc>
          <w:tcPr>
            <w:tcW w:w="839" w:type="pct"/>
            <w:vMerge/>
            <w:tcBorders>
              <w:top w:val="nil"/>
              <w:left w:val="single" w:sz="4" w:space="0" w:color="auto"/>
              <w:bottom w:val="single" w:sz="4" w:space="0" w:color="auto"/>
              <w:right w:val="single" w:sz="4" w:space="0" w:color="auto"/>
            </w:tcBorders>
            <w:vAlign w:val="center"/>
            <w:hideMark/>
          </w:tcPr>
          <w:p w14:paraId="3BE17F70"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A8D08D"/>
            <w:vAlign w:val="center"/>
            <w:hideMark/>
          </w:tcPr>
          <w:p w14:paraId="54E2B125" w14:textId="06DA9758"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17</w:t>
            </w:r>
          </w:p>
        </w:tc>
        <w:tc>
          <w:tcPr>
            <w:tcW w:w="982" w:type="pct"/>
            <w:tcBorders>
              <w:top w:val="nil"/>
              <w:left w:val="nil"/>
              <w:bottom w:val="single" w:sz="4" w:space="0" w:color="auto"/>
              <w:right w:val="single" w:sz="4" w:space="0" w:color="auto"/>
            </w:tcBorders>
            <w:shd w:val="clear" w:color="000000" w:fill="A8D08D"/>
            <w:vAlign w:val="center"/>
            <w:hideMark/>
          </w:tcPr>
          <w:p w14:paraId="17B2C0E5" w14:textId="3930179E"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Storage Infrastructures</w:t>
            </w:r>
          </w:p>
        </w:tc>
        <w:tc>
          <w:tcPr>
            <w:tcW w:w="340" w:type="pct"/>
            <w:tcBorders>
              <w:top w:val="nil"/>
              <w:left w:val="nil"/>
              <w:bottom w:val="single" w:sz="4" w:space="0" w:color="auto"/>
              <w:right w:val="single" w:sz="4" w:space="0" w:color="auto"/>
            </w:tcBorders>
            <w:shd w:val="clear" w:color="auto" w:fill="auto"/>
            <w:noWrap/>
            <w:vAlign w:val="center"/>
            <w:hideMark/>
          </w:tcPr>
          <w:p w14:paraId="3F9ECC9C" w14:textId="7508057C"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4A1C5816" w14:textId="2C2F5F17"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Beginner</w:t>
            </w:r>
          </w:p>
        </w:tc>
        <w:tc>
          <w:tcPr>
            <w:tcW w:w="1965" w:type="pct"/>
            <w:tcBorders>
              <w:top w:val="nil"/>
              <w:left w:val="nil"/>
              <w:bottom w:val="single" w:sz="4" w:space="0" w:color="auto"/>
              <w:right w:val="single" w:sz="4" w:space="0" w:color="auto"/>
            </w:tcBorders>
            <w:shd w:val="clear" w:color="auto" w:fill="auto"/>
            <w:vAlign w:val="center"/>
            <w:hideMark/>
          </w:tcPr>
          <w:p w14:paraId="3C6C0E8C" w14:textId="639185E2"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Understands organizational approach to storage and back-up</w:t>
            </w:r>
          </w:p>
        </w:tc>
      </w:tr>
      <w:tr w:rsidR="00613463" w:rsidRPr="00C80568" w14:paraId="6A8770D3"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238CD86B"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A8D08D"/>
            <w:vAlign w:val="center"/>
            <w:hideMark/>
          </w:tcPr>
          <w:p w14:paraId="6D574F65" w14:textId="425870A1"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18</w:t>
            </w:r>
          </w:p>
        </w:tc>
        <w:tc>
          <w:tcPr>
            <w:tcW w:w="982" w:type="pct"/>
            <w:tcBorders>
              <w:top w:val="nil"/>
              <w:left w:val="nil"/>
              <w:bottom w:val="single" w:sz="4" w:space="0" w:color="auto"/>
              <w:right w:val="single" w:sz="4" w:space="0" w:color="auto"/>
            </w:tcBorders>
            <w:shd w:val="clear" w:color="000000" w:fill="A8D08D"/>
            <w:vAlign w:val="center"/>
            <w:hideMark/>
          </w:tcPr>
          <w:p w14:paraId="498DBD51" w14:textId="63F2AAA5"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Information Security</w:t>
            </w:r>
          </w:p>
        </w:tc>
        <w:tc>
          <w:tcPr>
            <w:tcW w:w="340" w:type="pct"/>
            <w:tcBorders>
              <w:top w:val="nil"/>
              <w:left w:val="nil"/>
              <w:bottom w:val="single" w:sz="4" w:space="0" w:color="auto"/>
              <w:right w:val="single" w:sz="4" w:space="0" w:color="auto"/>
            </w:tcBorders>
            <w:shd w:val="clear" w:color="auto" w:fill="auto"/>
            <w:noWrap/>
            <w:vAlign w:val="center"/>
            <w:hideMark/>
          </w:tcPr>
          <w:p w14:paraId="5DA4AE5B" w14:textId="08248C5A"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11C1C269" w14:textId="28E79B20"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Beginner</w:t>
            </w:r>
          </w:p>
        </w:tc>
        <w:tc>
          <w:tcPr>
            <w:tcW w:w="1965" w:type="pct"/>
            <w:tcBorders>
              <w:top w:val="nil"/>
              <w:left w:val="nil"/>
              <w:bottom w:val="single" w:sz="4" w:space="0" w:color="auto"/>
              <w:right w:val="single" w:sz="4" w:space="0" w:color="auto"/>
            </w:tcBorders>
            <w:shd w:val="clear" w:color="auto" w:fill="auto"/>
            <w:vAlign w:val="center"/>
            <w:hideMark/>
          </w:tcPr>
          <w:p w14:paraId="514BF875" w14:textId="4E44D6CD"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Understands how organization manages information security, can liaise with IT colleagues to identify issues and solutions</w:t>
            </w:r>
          </w:p>
        </w:tc>
      </w:tr>
      <w:tr w:rsidR="00613463" w:rsidRPr="00C80568" w14:paraId="6D079563"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69004410"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A8D08D"/>
            <w:vAlign w:val="center"/>
            <w:hideMark/>
          </w:tcPr>
          <w:p w14:paraId="4A400BDA" w14:textId="60E52745"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19</w:t>
            </w:r>
          </w:p>
        </w:tc>
        <w:tc>
          <w:tcPr>
            <w:tcW w:w="982" w:type="pct"/>
            <w:tcBorders>
              <w:top w:val="nil"/>
              <w:left w:val="nil"/>
              <w:bottom w:val="single" w:sz="4" w:space="0" w:color="auto"/>
              <w:right w:val="single" w:sz="4" w:space="0" w:color="auto"/>
            </w:tcBorders>
            <w:shd w:val="clear" w:color="000000" w:fill="A8D08D"/>
            <w:vAlign w:val="center"/>
            <w:hideMark/>
          </w:tcPr>
          <w:p w14:paraId="16139592" w14:textId="3EE59FC8"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Workflow Development and Implementation</w:t>
            </w:r>
          </w:p>
        </w:tc>
        <w:tc>
          <w:tcPr>
            <w:tcW w:w="340" w:type="pct"/>
            <w:tcBorders>
              <w:top w:val="nil"/>
              <w:left w:val="nil"/>
              <w:bottom w:val="single" w:sz="4" w:space="0" w:color="auto"/>
              <w:right w:val="single" w:sz="4" w:space="0" w:color="auto"/>
            </w:tcBorders>
            <w:shd w:val="clear" w:color="auto" w:fill="auto"/>
            <w:noWrap/>
            <w:vAlign w:val="center"/>
            <w:hideMark/>
          </w:tcPr>
          <w:p w14:paraId="085DC0AF" w14:textId="5CC0CF3E"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0FB5A75C" w14:textId="5879DF0B"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46E22739" w14:textId="696D141A"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Contributes to the development of workflows for processing digital content</w:t>
            </w:r>
          </w:p>
        </w:tc>
      </w:tr>
      <w:tr w:rsidR="00613463" w:rsidRPr="00C80568" w14:paraId="383A784C" w14:textId="77777777" w:rsidTr="00613463">
        <w:trPr>
          <w:cantSplit/>
          <w:trHeight w:val="1500"/>
        </w:trPr>
        <w:tc>
          <w:tcPr>
            <w:tcW w:w="839" w:type="pct"/>
            <w:vMerge w:val="restart"/>
            <w:tcBorders>
              <w:top w:val="nil"/>
              <w:left w:val="single" w:sz="4" w:space="0" w:color="auto"/>
              <w:bottom w:val="single" w:sz="4" w:space="0" w:color="auto"/>
              <w:right w:val="single" w:sz="4" w:space="0" w:color="auto"/>
            </w:tcBorders>
            <w:shd w:val="clear" w:color="000000" w:fill="9CC2E5"/>
            <w:vAlign w:val="center"/>
            <w:hideMark/>
          </w:tcPr>
          <w:p w14:paraId="56FAF571" w14:textId="77777777" w:rsidR="00613463" w:rsidRPr="00C80568" w:rsidRDefault="00613463" w:rsidP="00613463">
            <w:pPr>
              <w:spacing w:line="240" w:lineRule="auto"/>
              <w:jc w:val="center"/>
              <w:rPr>
                <w:rFonts w:ascii="Calibri" w:eastAsia="Times New Roman" w:hAnsi="Calibri" w:cs="Calibri"/>
                <w:b/>
                <w:bCs/>
                <w:color w:val="000000"/>
              </w:rPr>
            </w:pPr>
            <w:r w:rsidRPr="00C80568">
              <w:rPr>
                <w:rFonts w:ascii="Calibri" w:eastAsia="Times New Roman" w:hAnsi="Calibri" w:cs="Calibri"/>
                <w:b/>
                <w:bCs/>
                <w:color w:val="000000"/>
              </w:rPr>
              <w:t>Legal and Social Responsibilities</w:t>
            </w:r>
          </w:p>
        </w:tc>
        <w:tc>
          <w:tcPr>
            <w:tcW w:w="210" w:type="pct"/>
            <w:tcBorders>
              <w:top w:val="nil"/>
              <w:left w:val="single" w:sz="4" w:space="0" w:color="auto"/>
              <w:bottom w:val="single" w:sz="4" w:space="0" w:color="auto"/>
              <w:right w:val="single" w:sz="4" w:space="0" w:color="auto"/>
            </w:tcBorders>
            <w:shd w:val="clear" w:color="000000" w:fill="9CC2E5"/>
            <w:vAlign w:val="center"/>
            <w:hideMark/>
          </w:tcPr>
          <w:p w14:paraId="74A6E144" w14:textId="28658861"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20</w:t>
            </w:r>
          </w:p>
        </w:tc>
        <w:tc>
          <w:tcPr>
            <w:tcW w:w="982" w:type="pct"/>
            <w:tcBorders>
              <w:top w:val="nil"/>
              <w:left w:val="nil"/>
              <w:bottom w:val="single" w:sz="4" w:space="0" w:color="auto"/>
              <w:right w:val="single" w:sz="4" w:space="0" w:color="auto"/>
            </w:tcBorders>
            <w:shd w:val="clear" w:color="000000" w:fill="9CC2E5"/>
            <w:vAlign w:val="center"/>
            <w:hideMark/>
          </w:tcPr>
          <w:p w14:paraId="411CD927" w14:textId="29F70E63"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Legal and Regulatory Compliance</w:t>
            </w:r>
          </w:p>
        </w:tc>
        <w:tc>
          <w:tcPr>
            <w:tcW w:w="340" w:type="pct"/>
            <w:tcBorders>
              <w:top w:val="nil"/>
              <w:left w:val="nil"/>
              <w:bottom w:val="single" w:sz="4" w:space="0" w:color="auto"/>
              <w:right w:val="single" w:sz="4" w:space="0" w:color="auto"/>
            </w:tcBorders>
            <w:shd w:val="clear" w:color="auto" w:fill="auto"/>
            <w:noWrap/>
            <w:vAlign w:val="center"/>
            <w:hideMark/>
          </w:tcPr>
          <w:p w14:paraId="0AC372EE" w14:textId="58C9956C"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071CCC10" w14:textId="7B46C965"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76CD2CBE" w14:textId="24191D33"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Understands the organization's legal and regulatory context and responsibilities and how they impact digital preservation. Ensures preservation or access workflows incorporate necessary legal or regulatory considerations to facilitate compliance</w:t>
            </w:r>
          </w:p>
        </w:tc>
      </w:tr>
      <w:tr w:rsidR="00613463" w:rsidRPr="00C80568" w14:paraId="6D6B6302"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3625DE71"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9CC2E5"/>
            <w:vAlign w:val="center"/>
            <w:hideMark/>
          </w:tcPr>
          <w:p w14:paraId="65D35EEE" w14:textId="007E5D0B"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21</w:t>
            </w:r>
          </w:p>
        </w:tc>
        <w:tc>
          <w:tcPr>
            <w:tcW w:w="982" w:type="pct"/>
            <w:tcBorders>
              <w:top w:val="nil"/>
              <w:left w:val="nil"/>
              <w:bottom w:val="single" w:sz="4" w:space="0" w:color="auto"/>
              <w:right w:val="single" w:sz="4" w:space="0" w:color="auto"/>
            </w:tcBorders>
            <w:shd w:val="clear" w:color="000000" w:fill="9CC2E5"/>
            <w:vAlign w:val="center"/>
            <w:hideMark/>
          </w:tcPr>
          <w:p w14:paraId="78EDAE0B" w14:textId="1E68F04B"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Environmental Impact</w:t>
            </w:r>
          </w:p>
        </w:tc>
        <w:tc>
          <w:tcPr>
            <w:tcW w:w="340" w:type="pct"/>
            <w:tcBorders>
              <w:top w:val="nil"/>
              <w:left w:val="nil"/>
              <w:bottom w:val="single" w:sz="4" w:space="0" w:color="auto"/>
              <w:right w:val="single" w:sz="4" w:space="0" w:color="auto"/>
            </w:tcBorders>
            <w:shd w:val="clear" w:color="auto" w:fill="auto"/>
            <w:noWrap/>
            <w:vAlign w:val="center"/>
            <w:hideMark/>
          </w:tcPr>
          <w:p w14:paraId="513AD72D" w14:textId="6A80B5C5"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595DCADD" w14:textId="74B15749"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7E3C613D" w14:textId="736C4720" w:rsidR="00613463" w:rsidRPr="00432980" w:rsidRDefault="00613463" w:rsidP="00613463">
            <w:pPr>
              <w:rPr>
                <w:rFonts w:ascii="Calibri" w:hAnsi="Calibri" w:cs="Calibri"/>
                <w:color w:val="000000"/>
              </w:rPr>
            </w:pPr>
            <w:r>
              <w:rPr>
                <w:rFonts w:ascii="Calibri" w:hAnsi="Calibri" w:cs="Calibri"/>
                <w:color w:val="000000"/>
              </w:rPr>
              <w:t>Leads on assessments of financial and environmental costs of digital preservation, making and implementing recommendations for environmental sustainability</w:t>
            </w:r>
          </w:p>
        </w:tc>
      </w:tr>
      <w:tr w:rsidR="00613463" w:rsidRPr="00C80568" w14:paraId="411EBC67" w14:textId="77777777" w:rsidTr="00613463">
        <w:trPr>
          <w:cantSplit/>
          <w:trHeight w:val="1200"/>
        </w:trPr>
        <w:tc>
          <w:tcPr>
            <w:tcW w:w="839" w:type="pct"/>
            <w:vMerge/>
            <w:tcBorders>
              <w:top w:val="nil"/>
              <w:left w:val="single" w:sz="4" w:space="0" w:color="auto"/>
              <w:bottom w:val="single" w:sz="4" w:space="0" w:color="auto"/>
              <w:right w:val="single" w:sz="4" w:space="0" w:color="auto"/>
            </w:tcBorders>
            <w:vAlign w:val="center"/>
            <w:hideMark/>
          </w:tcPr>
          <w:p w14:paraId="4BC23BB0"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9CC2E5"/>
            <w:vAlign w:val="center"/>
            <w:hideMark/>
          </w:tcPr>
          <w:p w14:paraId="7578A16E" w14:textId="1B73D486"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22</w:t>
            </w:r>
          </w:p>
        </w:tc>
        <w:tc>
          <w:tcPr>
            <w:tcW w:w="982" w:type="pct"/>
            <w:tcBorders>
              <w:top w:val="nil"/>
              <w:left w:val="nil"/>
              <w:bottom w:val="single" w:sz="4" w:space="0" w:color="auto"/>
              <w:right w:val="single" w:sz="4" w:space="0" w:color="auto"/>
            </w:tcBorders>
            <w:shd w:val="clear" w:color="000000" w:fill="9CC2E5"/>
            <w:vAlign w:val="center"/>
            <w:hideMark/>
          </w:tcPr>
          <w:p w14:paraId="2FD5F8A4" w14:textId="14FADFD9"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Inclusion and Diversity</w:t>
            </w:r>
          </w:p>
        </w:tc>
        <w:tc>
          <w:tcPr>
            <w:tcW w:w="340" w:type="pct"/>
            <w:tcBorders>
              <w:top w:val="nil"/>
              <w:left w:val="nil"/>
              <w:bottom w:val="single" w:sz="4" w:space="0" w:color="auto"/>
              <w:right w:val="single" w:sz="4" w:space="0" w:color="auto"/>
            </w:tcBorders>
            <w:shd w:val="clear" w:color="auto" w:fill="auto"/>
            <w:noWrap/>
            <w:vAlign w:val="center"/>
            <w:hideMark/>
          </w:tcPr>
          <w:p w14:paraId="3EB072D6" w14:textId="4243EDEE"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12324B9E" w14:textId="3078DAD1"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2E8BB801" w14:textId="756A4583"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 xml:space="preserve">Understands key inclusion and diversity issues that impact on digital preservation, can assess activities for unconscious bias, supports and evaluates staff in a responsible, </w:t>
            </w:r>
            <w:proofErr w:type="gramStart"/>
            <w:r>
              <w:rPr>
                <w:rFonts w:ascii="Calibri" w:hAnsi="Calibri" w:cs="Calibri"/>
                <w:color w:val="000000"/>
              </w:rPr>
              <w:t>inclusive</w:t>
            </w:r>
            <w:proofErr w:type="gramEnd"/>
            <w:r>
              <w:rPr>
                <w:rFonts w:ascii="Calibri" w:hAnsi="Calibri" w:cs="Calibri"/>
                <w:color w:val="000000"/>
              </w:rPr>
              <w:t xml:space="preserve"> and fair manner</w:t>
            </w:r>
          </w:p>
        </w:tc>
      </w:tr>
      <w:tr w:rsidR="00613463" w:rsidRPr="00C80568" w14:paraId="5C785B33"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532EA48B"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9CC2E5"/>
            <w:vAlign w:val="center"/>
            <w:hideMark/>
          </w:tcPr>
          <w:p w14:paraId="3F6B3C44" w14:textId="6C52FE40"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23</w:t>
            </w:r>
          </w:p>
        </w:tc>
        <w:tc>
          <w:tcPr>
            <w:tcW w:w="982" w:type="pct"/>
            <w:tcBorders>
              <w:top w:val="nil"/>
              <w:left w:val="nil"/>
              <w:bottom w:val="single" w:sz="4" w:space="0" w:color="auto"/>
              <w:right w:val="single" w:sz="4" w:space="0" w:color="auto"/>
            </w:tcBorders>
            <w:shd w:val="clear" w:color="000000" w:fill="9CC2E5"/>
            <w:vAlign w:val="center"/>
            <w:hideMark/>
          </w:tcPr>
          <w:p w14:paraId="0FF3D965" w14:textId="21DC97EC"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Ethics</w:t>
            </w:r>
          </w:p>
        </w:tc>
        <w:tc>
          <w:tcPr>
            <w:tcW w:w="340" w:type="pct"/>
            <w:tcBorders>
              <w:top w:val="nil"/>
              <w:left w:val="nil"/>
              <w:bottom w:val="single" w:sz="4" w:space="0" w:color="auto"/>
              <w:right w:val="single" w:sz="4" w:space="0" w:color="auto"/>
            </w:tcBorders>
            <w:shd w:val="clear" w:color="auto" w:fill="auto"/>
            <w:noWrap/>
            <w:vAlign w:val="center"/>
            <w:hideMark/>
          </w:tcPr>
          <w:p w14:paraId="18E79F42" w14:textId="39AD3A8E"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08D556DC" w14:textId="7AA8097B"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7B71EC04" w14:textId="3395FC62"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Has considered and applied ethical approaches to digital preservation activities</w:t>
            </w:r>
          </w:p>
        </w:tc>
      </w:tr>
      <w:tr w:rsidR="00613463" w:rsidRPr="00C80568" w14:paraId="7F4D40F2" w14:textId="77777777" w:rsidTr="00613463">
        <w:trPr>
          <w:cantSplit/>
          <w:trHeight w:val="600"/>
        </w:trPr>
        <w:tc>
          <w:tcPr>
            <w:tcW w:w="839" w:type="pct"/>
            <w:vMerge w:val="restart"/>
            <w:tcBorders>
              <w:top w:val="nil"/>
              <w:left w:val="single" w:sz="4" w:space="0" w:color="auto"/>
              <w:bottom w:val="single" w:sz="4" w:space="0" w:color="auto"/>
              <w:right w:val="single" w:sz="4" w:space="0" w:color="auto"/>
            </w:tcBorders>
            <w:shd w:val="clear" w:color="000000" w:fill="D3C5E5"/>
            <w:vAlign w:val="center"/>
            <w:hideMark/>
          </w:tcPr>
          <w:p w14:paraId="104F9636" w14:textId="77777777" w:rsidR="00613463" w:rsidRPr="00C80568" w:rsidRDefault="00613463" w:rsidP="00613463">
            <w:pPr>
              <w:spacing w:line="240" w:lineRule="auto"/>
              <w:jc w:val="center"/>
              <w:rPr>
                <w:rFonts w:ascii="Calibri" w:eastAsia="Times New Roman" w:hAnsi="Calibri" w:cs="Calibri"/>
                <w:b/>
                <w:bCs/>
                <w:color w:val="000000"/>
              </w:rPr>
            </w:pPr>
            <w:r w:rsidRPr="00C80568">
              <w:rPr>
                <w:rFonts w:ascii="Calibri" w:eastAsia="Times New Roman" w:hAnsi="Calibri" w:cs="Calibri"/>
                <w:b/>
                <w:bCs/>
                <w:color w:val="000000"/>
              </w:rPr>
              <w:t>Digital Preservation Domain Specific</w:t>
            </w:r>
          </w:p>
        </w:tc>
        <w:tc>
          <w:tcPr>
            <w:tcW w:w="210" w:type="pct"/>
            <w:tcBorders>
              <w:top w:val="nil"/>
              <w:left w:val="single" w:sz="4" w:space="0" w:color="auto"/>
              <w:bottom w:val="single" w:sz="4" w:space="0" w:color="auto"/>
              <w:right w:val="single" w:sz="4" w:space="0" w:color="auto"/>
            </w:tcBorders>
            <w:shd w:val="clear" w:color="000000" w:fill="D3C5E5"/>
            <w:vAlign w:val="center"/>
            <w:hideMark/>
          </w:tcPr>
          <w:p w14:paraId="5842518F" w14:textId="47F61C3C"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24</w:t>
            </w:r>
          </w:p>
        </w:tc>
        <w:tc>
          <w:tcPr>
            <w:tcW w:w="982" w:type="pct"/>
            <w:tcBorders>
              <w:top w:val="nil"/>
              <w:left w:val="nil"/>
              <w:bottom w:val="single" w:sz="4" w:space="0" w:color="auto"/>
              <w:right w:val="single" w:sz="4" w:space="0" w:color="auto"/>
            </w:tcBorders>
            <w:shd w:val="clear" w:color="000000" w:fill="D3C5E5"/>
            <w:vAlign w:val="center"/>
            <w:hideMark/>
          </w:tcPr>
          <w:p w14:paraId="033FC0C8" w14:textId="46F4B53D"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Metadata Standards and Implementation</w:t>
            </w:r>
          </w:p>
        </w:tc>
        <w:tc>
          <w:tcPr>
            <w:tcW w:w="340" w:type="pct"/>
            <w:tcBorders>
              <w:top w:val="nil"/>
              <w:left w:val="nil"/>
              <w:bottom w:val="single" w:sz="4" w:space="0" w:color="auto"/>
              <w:right w:val="single" w:sz="4" w:space="0" w:color="auto"/>
            </w:tcBorders>
            <w:shd w:val="clear" w:color="auto" w:fill="auto"/>
            <w:noWrap/>
            <w:vAlign w:val="center"/>
            <w:hideMark/>
          </w:tcPr>
          <w:p w14:paraId="3FD3665D" w14:textId="231936CD"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2C0ACFFC" w14:textId="62825570"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35D9CAFE" w14:textId="597C2764"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Leads the selection and implementation of relevant metadata standards</w:t>
            </w:r>
          </w:p>
        </w:tc>
      </w:tr>
      <w:tr w:rsidR="00613463" w:rsidRPr="00C80568" w14:paraId="718AFC39" w14:textId="77777777" w:rsidTr="00613463">
        <w:trPr>
          <w:cantSplit/>
          <w:trHeight w:val="615"/>
        </w:trPr>
        <w:tc>
          <w:tcPr>
            <w:tcW w:w="839" w:type="pct"/>
            <w:vMerge/>
            <w:tcBorders>
              <w:top w:val="nil"/>
              <w:left w:val="single" w:sz="4" w:space="0" w:color="auto"/>
              <w:bottom w:val="single" w:sz="4" w:space="0" w:color="auto"/>
              <w:right w:val="single" w:sz="4" w:space="0" w:color="auto"/>
            </w:tcBorders>
            <w:vAlign w:val="center"/>
            <w:hideMark/>
          </w:tcPr>
          <w:p w14:paraId="51C1797A"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D3C5E5"/>
            <w:vAlign w:val="center"/>
            <w:hideMark/>
          </w:tcPr>
          <w:p w14:paraId="065E1703" w14:textId="1CE2E1A5"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25</w:t>
            </w:r>
          </w:p>
        </w:tc>
        <w:tc>
          <w:tcPr>
            <w:tcW w:w="982" w:type="pct"/>
            <w:tcBorders>
              <w:top w:val="nil"/>
              <w:left w:val="nil"/>
              <w:bottom w:val="single" w:sz="4" w:space="0" w:color="auto"/>
              <w:right w:val="single" w:sz="4" w:space="0" w:color="auto"/>
            </w:tcBorders>
            <w:shd w:val="clear" w:color="000000" w:fill="D3C5E5"/>
            <w:vAlign w:val="center"/>
            <w:hideMark/>
          </w:tcPr>
          <w:p w14:paraId="62A591D3" w14:textId="162E1980"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Information Management Principles</w:t>
            </w:r>
          </w:p>
        </w:tc>
        <w:tc>
          <w:tcPr>
            <w:tcW w:w="340" w:type="pct"/>
            <w:tcBorders>
              <w:top w:val="nil"/>
              <w:left w:val="nil"/>
              <w:bottom w:val="single" w:sz="4" w:space="0" w:color="auto"/>
              <w:right w:val="single" w:sz="4" w:space="0" w:color="auto"/>
            </w:tcBorders>
            <w:shd w:val="clear" w:color="auto" w:fill="auto"/>
            <w:noWrap/>
            <w:vAlign w:val="center"/>
            <w:hideMark/>
          </w:tcPr>
          <w:p w14:paraId="04D82D4A" w14:textId="4A1E8EA4"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744E16FE" w14:textId="374FAD2C"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8" w:space="0" w:color="auto"/>
              <w:right w:val="single" w:sz="8" w:space="0" w:color="auto"/>
            </w:tcBorders>
            <w:shd w:val="clear" w:color="auto" w:fill="auto"/>
            <w:vAlign w:val="center"/>
            <w:hideMark/>
          </w:tcPr>
          <w:p w14:paraId="72D5076E" w14:textId="287B049E"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Ensures relevant information management principles are incorporated into digital preservation activities</w:t>
            </w:r>
          </w:p>
        </w:tc>
      </w:tr>
      <w:tr w:rsidR="00613463" w:rsidRPr="00C80568" w14:paraId="5BB8F582"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7BFAFAE2"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D3C5E5"/>
            <w:vAlign w:val="center"/>
            <w:hideMark/>
          </w:tcPr>
          <w:p w14:paraId="6677AAC2" w14:textId="77A4BF36"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26</w:t>
            </w:r>
          </w:p>
        </w:tc>
        <w:tc>
          <w:tcPr>
            <w:tcW w:w="982" w:type="pct"/>
            <w:tcBorders>
              <w:top w:val="nil"/>
              <w:left w:val="nil"/>
              <w:bottom w:val="single" w:sz="4" w:space="0" w:color="auto"/>
              <w:right w:val="single" w:sz="4" w:space="0" w:color="auto"/>
            </w:tcBorders>
            <w:shd w:val="clear" w:color="000000" w:fill="D3C5E5"/>
            <w:vAlign w:val="center"/>
            <w:hideMark/>
          </w:tcPr>
          <w:p w14:paraId="17DEBBA8" w14:textId="250CE281"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Approaches to Preservation</w:t>
            </w:r>
          </w:p>
        </w:tc>
        <w:tc>
          <w:tcPr>
            <w:tcW w:w="340" w:type="pct"/>
            <w:tcBorders>
              <w:top w:val="nil"/>
              <w:left w:val="nil"/>
              <w:bottom w:val="single" w:sz="4" w:space="0" w:color="auto"/>
              <w:right w:val="single" w:sz="4" w:space="0" w:color="auto"/>
            </w:tcBorders>
            <w:shd w:val="clear" w:color="auto" w:fill="auto"/>
            <w:noWrap/>
            <w:vAlign w:val="center"/>
            <w:hideMark/>
          </w:tcPr>
          <w:p w14:paraId="56D1D414" w14:textId="72007174"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4AC1D802" w14:textId="180E876A"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single" w:sz="4" w:space="0" w:color="auto"/>
              <w:left w:val="nil"/>
              <w:bottom w:val="single" w:sz="4" w:space="0" w:color="auto"/>
              <w:right w:val="single" w:sz="4" w:space="0" w:color="auto"/>
            </w:tcBorders>
            <w:shd w:val="clear" w:color="auto" w:fill="auto"/>
            <w:vAlign w:val="center"/>
            <w:hideMark/>
          </w:tcPr>
          <w:p w14:paraId="0988AF47" w14:textId="0A60C2BB"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 xml:space="preserve">Ensures </w:t>
            </w:r>
            <w:proofErr w:type="spellStart"/>
            <w:r>
              <w:rPr>
                <w:rFonts w:ascii="Calibri" w:hAnsi="Calibri" w:cs="Calibri"/>
                <w:color w:val="000000"/>
              </w:rPr>
              <w:t>sutiable</w:t>
            </w:r>
            <w:proofErr w:type="spellEnd"/>
            <w:r>
              <w:rPr>
                <w:rFonts w:ascii="Calibri" w:hAnsi="Calibri" w:cs="Calibri"/>
                <w:color w:val="000000"/>
              </w:rPr>
              <w:t xml:space="preserve"> digital preservation approaches are selected and implemented</w:t>
            </w:r>
          </w:p>
        </w:tc>
      </w:tr>
      <w:tr w:rsidR="00613463" w:rsidRPr="00C80568" w14:paraId="1B160289"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61AF5756"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D3C5E5"/>
            <w:vAlign w:val="center"/>
            <w:hideMark/>
          </w:tcPr>
          <w:p w14:paraId="1EB679A7" w14:textId="556B1905"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27</w:t>
            </w:r>
          </w:p>
        </w:tc>
        <w:tc>
          <w:tcPr>
            <w:tcW w:w="982" w:type="pct"/>
            <w:tcBorders>
              <w:top w:val="nil"/>
              <w:left w:val="nil"/>
              <w:bottom w:val="single" w:sz="4" w:space="0" w:color="auto"/>
              <w:right w:val="single" w:sz="4" w:space="0" w:color="auto"/>
            </w:tcBorders>
            <w:shd w:val="clear" w:color="000000" w:fill="D3C5E5"/>
            <w:vAlign w:val="center"/>
            <w:hideMark/>
          </w:tcPr>
          <w:p w14:paraId="5965B55D" w14:textId="3CB45C13"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DP Standards and Models</w:t>
            </w:r>
          </w:p>
        </w:tc>
        <w:tc>
          <w:tcPr>
            <w:tcW w:w="340" w:type="pct"/>
            <w:tcBorders>
              <w:top w:val="nil"/>
              <w:left w:val="nil"/>
              <w:bottom w:val="single" w:sz="4" w:space="0" w:color="auto"/>
              <w:right w:val="single" w:sz="4" w:space="0" w:color="auto"/>
            </w:tcBorders>
            <w:shd w:val="clear" w:color="auto" w:fill="auto"/>
            <w:noWrap/>
            <w:vAlign w:val="center"/>
            <w:hideMark/>
          </w:tcPr>
          <w:p w14:paraId="2DEB8561" w14:textId="3A750953"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3F68B6DA" w14:textId="37FE00BE"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2F3B9027" w14:textId="13BA28C7"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Selects standards and/or models to guide the development of the organization’s approach to digital preservation</w:t>
            </w:r>
          </w:p>
        </w:tc>
      </w:tr>
      <w:tr w:rsidR="00613463" w:rsidRPr="00C80568" w14:paraId="3DCAB008" w14:textId="77777777" w:rsidTr="00613463">
        <w:trPr>
          <w:cantSplit/>
          <w:trHeight w:val="600"/>
        </w:trPr>
        <w:tc>
          <w:tcPr>
            <w:tcW w:w="839" w:type="pct"/>
            <w:vMerge/>
            <w:tcBorders>
              <w:top w:val="nil"/>
              <w:left w:val="single" w:sz="4" w:space="0" w:color="auto"/>
              <w:bottom w:val="single" w:sz="4" w:space="0" w:color="auto"/>
              <w:right w:val="single" w:sz="4" w:space="0" w:color="auto"/>
            </w:tcBorders>
            <w:vAlign w:val="center"/>
            <w:hideMark/>
          </w:tcPr>
          <w:p w14:paraId="366BF77E" w14:textId="77777777" w:rsidR="00613463" w:rsidRPr="00C80568" w:rsidRDefault="00613463" w:rsidP="00613463">
            <w:pPr>
              <w:spacing w:line="240" w:lineRule="auto"/>
              <w:jc w:val="center"/>
              <w:rPr>
                <w:rFonts w:ascii="Calibri" w:eastAsia="Times New Roman" w:hAnsi="Calibri" w:cs="Calibri"/>
                <w:b/>
                <w:bCs/>
                <w:color w:val="000000"/>
              </w:rPr>
            </w:pPr>
          </w:p>
        </w:tc>
        <w:tc>
          <w:tcPr>
            <w:tcW w:w="210" w:type="pct"/>
            <w:tcBorders>
              <w:top w:val="nil"/>
              <w:left w:val="single" w:sz="4" w:space="0" w:color="auto"/>
              <w:bottom w:val="single" w:sz="4" w:space="0" w:color="auto"/>
              <w:right w:val="single" w:sz="4" w:space="0" w:color="auto"/>
            </w:tcBorders>
            <w:shd w:val="clear" w:color="000000" w:fill="D3C5E5"/>
            <w:vAlign w:val="center"/>
            <w:hideMark/>
          </w:tcPr>
          <w:p w14:paraId="67027FAD" w14:textId="0D541885"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28</w:t>
            </w:r>
          </w:p>
        </w:tc>
        <w:tc>
          <w:tcPr>
            <w:tcW w:w="982" w:type="pct"/>
            <w:tcBorders>
              <w:top w:val="nil"/>
              <w:left w:val="nil"/>
              <w:bottom w:val="single" w:sz="4" w:space="0" w:color="auto"/>
              <w:right w:val="single" w:sz="4" w:space="0" w:color="auto"/>
            </w:tcBorders>
            <w:shd w:val="clear" w:color="000000" w:fill="D3C5E5"/>
            <w:vAlign w:val="center"/>
            <w:hideMark/>
          </w:tcPr>
          <w:p w14:paraId="65E9070E" w14:textId="41E15B79" w:rsidR="00613463" w:rsidRPr="00C80568" w:rsidRDefault="00613463" w:rsidP="00613463">
            <w:pPr>
              <w:spacing w:line="240" w:lineRule="auto"/>
              <w:rPr>
                <w:rFonts w:ascii="Calibri" w:eastAsia="Times New Roman" w:hAnsi="Calibri" w:cs="Calibri"/>
                <w:color w:val="000000"/>
              </w:rPr>
            </w:pPr>
            <w:r>
              <w:rPr>
                <w:rFonts w:ascii="Calibri" w:hAnsi="Calibri" w:cs="Calibri"/>
                <w:color w:val="000000"/>
              </w:rPr>
              <w:t>Managing Access</w:t>
            </w:r>
          </w:p>
        </w:tc>
        <w:tc>
          <w:tcPr>
            <w:tcW w:w="340" w:type="pct"/>
            <w:tcBorders>
              <w:top w:val="nil"/>
              <w:left w:val="nil"/>
              <w:bottom w:val="single" w:sz="4" w:space="0" w:color="auto"/>
              <w:right w:val="single" w:sz="4" w:space="0" w:color="auto"/>
            </w:tcBorders>
            <w:shd w:val="clear" w:color="auto" w:fill="auto"/>
            <w:noWrap/>
            <w:vAlign w:val="center"/>
            <w:hideMark/>
          </w:tcPr>
          <w:p w14:paraId="37C0A3EA" w14:textId="0AF9A660"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Yes</w:t>
            </w:r>
          </w:p>
        </w:tc>
        <w:tc>
          <w:tcPr>
            <w:tcW w:w="663" w:type="pct"/>
            <w:tcBorders>
              <w:top w:val="nil"/>
              <w:left w:val="nil"/>
              <w:bottom w:val="single" w:sz="4" w:space="0" w:color="auto"/>
              <w:right w:val="single" w:sz="4" w:space="0" w:color="auto"/>
            </w:tcBorders>
            <w:shd w:val="clear" w:color="auto" w:fill="auto"/>
            <w:noWrap/>
            <w:vAlign w:val="center"/>
            <w:hideMark/>
          </w:tcPr>
          <w:p w14:paraId="745D1D33" w14:textId="41229E3B" w:rsidR="00613463" w:rsidRPr="00C80568" w:rsidRDefault="00613463" w:rsidP="00613463">
            <w:pPr>
              <w:spacing w:line="240" w:lineRule="auto"/>
              <w:jc w:val="center"/>
              <w:rPr>
                <w:rFonts w:ascii="Calibri" w:eastAsia="Times New Roman" w:hAnsi="Calibri" w:cs="Calibri"/>
                <w:color w:val="000000"/>
              </w:rPr>
            </w:pPr>
            <w:r>
              <w:rPr>
                <w:rFonts w:ascii="Calibri" w:hAnsi="Calibri" w:cs="Calibri"/>
                <w:color w:val="000000"/>
              </w:rPr>
              <w:t>Intermediate</w:t>
            </w:r>
          </w:p>
        </w:tc>
        <w:tc>
          <w:tcPr>
            <w:tcW w:w="1965" w:type="pct"/>
            <w:tcBorders>
              <w:top w:val="nil"/>
              <w:left w:val="nil"/>
              <w:bottom w:val="single" w:sz="4" w:space="0" w:color="auto"/>
              <w:right w:val="single" w:sz="4" w:space="0" w:color="auto"/>
            </w:tcBorders>
            <w:shd w:val="clear" w:color="auto" w:fill="auto"/>
            <w:vAlign w:val="center"/>
            <w:hideMark/>
          </w:tcPr>
          <w:p w14:paraId="33361B86" w14:textId="3C7D87D9" w:rsidR="00613463" w:rsidRPr="00C80568" w:rsidRDefault="00613463" w:rsidP="00613463">
            <w:pPr>
              <w:spacing w:line="240" w:lineRule="auto"/>
              <w:rPr>
                <w:rFonts w:ascii="Calibri" w:eastAsia="Times New Roman" w:hAnsi="Calibri" w:cs="Calibri"/>
                <w:color w:val="000000"/>
              </w:rPr>
            </w:pPr>
            <w:proofErr w:type="spellStart"/>
            <w:r>
              <w:rPr>
                <w:rFonts w:ascii="Calibri" w:hAnsi="Calibri" w:cs="Calibri"/>
                <w:color w:val="000000"/>
              </w:rPr>
              <w:t>Surpervises</w:t>
            </w:r>
            <w:proofErr w:type="spellEnd"/>
            <w:r>
              <w:rPr>
                <w:rFonts w:ascii="Calibri" w:hAnsi="Calibri" w:cs="Calibri"/>
                <w:color w:val="000000"/>
              </w:rPr>
              <w:t xml:space="preserve"> the implementation of services for provision of access to digital content</w:t>
            </w:r>
          </w:p>
        </w:tc>
      </w:tr>
    </w:tbl>
    <w:p w14:paraId="035E700F" w14:textId="77777777" w:rsidR="00C814F9" w:rsidRPr="00C814F9" w:rsidRDefault="00C814F9" w:rsidP="00C814F9"/>
    <w:sectPr w:rsidR="00C814F9" w:rsidRPr="00C814F9" w:rsidSect="001A7902">
      <w:headerReference w:type="default" r:id="rId8"/>
      <w:pgSz w:w="11906" w:h="16838"/>
      <w:pgMar w:top="130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EAE9" w14:textId="77777777" w:rsidR="002178E0" w:rsidRDefault="002178E0" w:rsidP="00C814F9">
      <w:pPr>
        <w:spacing w:line="240" w:lineRule="auto"/>
      </w:pPr>
      <w:r>
        <w:separator/>
      </w:r>
    </w:p>
  </w:endnote>
  <w:endnote w:type="continuationSeparator" w:id="0">
    <w:p w14:paraId="7F791034" w14:textId="77777777" w:rsidR="002178E0" w:rsidRDefault="002178E0" w:rsidP="00C81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FFDD" w14:textId="77777777" w:rsidR="002178E0" w:rsidRDefault="002178E0" w:rsidP="00C814F9">
      <w:pPr>
        <w:spacing w:line="240" w:lineRule="auto"/>
      </w:pPr>
      <w:r>
        <w:separator/>
      </w:r>
    </w:p>
  </w:footnote>
  <w:footnote w:type="continuationSeparator" w:id="0">
    <w:p w14:paraId="7757C50E" w14:textId="77777777" w:rsidR="002178E0" w:rsidRDefault="002178E0" w:rsidP="00C814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A70" w14:textId="0FA49AAD" w:rsidR="001A7902" w:rsidRDefault="001A7902" w:rsidP="001A7902">
    <w:pPr>
      <w:pStyle w:val="Header"/>
      <w:jc w:val="right"/>
    </w:pPr>
    <w:r>
      <w:rPr>
        <w:noProof/>
      </w:rPr>
      <w:drawing>
        <wp:inline distT="0" distB="0" distL="0" distR="0" wp14:anchorId="38CEA1D6" wp14:editId="35C74ED8">
          <wp:extent cx="1905000" cy="419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066"/>
    <w:multiLevelType w:val="hybridMultilevel"/>
    <w:tmpl w:val="3EEC77E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0C14"/>
    <w:multiLevelType w:val="multilevel"/>
    <w:tmpl w:val="D6C4BA72"/>
    <w:lvl w:ilvl="0">
      <w:start w:val="1"/>
      <w:numFmt w:val="decimal"/>
      <w:pStyle w:val="Heading1"/>
      <w:suff w:val="space"/>
      <w:lvlText w:val="%1."/>
      <w:lvlJc w:val="left"/>
      <w:pPr>
        <w:ind w:left="720" w:hanging="720"/>
      </w:pPr>
      <w:rPr>
        <w:rFonts w:hint="default"/>
      </w:rPr>
    </w:lvl>
    <w:lvl w:ilvl="1">
      <w:start w:val="1"/>
      <w:numFmt w:val="decimal"/>
      <w:pStyle w:val="Heading2"/>
      <w:suff w:val="space"/>
      <w:lvlText w:val="%1.%2"/>
      <w:lvlJc w:val="left"/>
      <w:pPr>
        <w:ind w:left="851" w:hanging="851"/>
      </w:pPr>
      <w:rPr>
        <w:rFonts w:hint="default"/>
      </w:rPr>
    </w:lvl>
    <w:lvl w:ilvl="2">
      <w:start w:val="1"/>
      <w:numFmt w:val="decimal"/>
      <w:pStyle w:val="Heading3"/>
      <w:suff w:val="space"/>
      <w:lvlText w:val="%1.%2.%3"/>
      <w:lvlJc w:val="left"/>
      <w:pPr>
        <w:ind w:left="851" w:hanging="851"/>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49656A20"/>
    <w:multiLevelType w:val="hybridMultilevel"/>
    <w:tmpl w:val="F6966312"/>
    <w:lvl w:ilvl="0" w:tplc="6D7821B6">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05DF3"/>
    <w:multiLevelType w:val="multilevel"/>
    <w:tmpl w:val="445C09E4"/>
    <w:lvl w:ilvl="0">
      <w:start w:val="1"/>
      <w:numFmt w:val="decimal"/>
      <w:lvlText w:val="%1."/>
      <w:lvlJc w:val="left"/>
      <w:pPr>
        <w:ind w:left="360" w:hanging="360"/>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9331048">
    <w:abstractNumId w:val="2"/>
  </w:num>
  <w:num w:numId="2" w16cid:durableId="1876963029">
    <w:abstractNumId w:val="2"/>
  </w:num>
  <w:num w:numId="3" w16cid:durableId="106699708">
    <w:abstractNumId w:val="3"/>
  </w:num>
  <w:num w:numId="4" w16cid:durableId="24410052">
    <w:abstractNumId w:val="3"/>
  </w:num>
  <w:num w:numId="5" w16cid:durableId="2041469792">
    <w:abstractNumId w:val="3"/>
  </w:num>
  <w:num w:numId="6" w16cid:durableId="26102583">
    <w:abstractNumId w:val="1"/>
  </w:num>
  <w:num w:numId="7" w16cid:durableId="738481872">
    <w:abstractNumId w:val="3"/>
  </w:num>
  <w:num w:numId="8" w16cid:durableId="1557398436">
    <w:abstractNumId w:val="1"/>
  </w:num>
  <w:num w:numId="9" w16cid:durableId="2014215686">
    <w:abstractNumId w:val="1"/>
  </w:num>
  <w:num w:numId="10" w16cid:durableId="1420978069">
    <w:abstractNumId w:val="1"/>
  </w:num>
  <w:num w:numId="11" w16cid:durableId="2037190576">
    <w:abstractNumId w:val="1"/>
  </w:num>
  <w:num w:numId="12" w16cid:durableId="1374425295">
    <w:abstractNumId w:val="1"/>
  </w:num>
  <w:num w:numId="13" w16cid:durableId="3908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F9"/>
    <w:rsid w:val="00032551"/>
    <w:rsid w:val="00044854"/>
    <w:rsid w:val="00082FCE"/>
    <w:rsid w:val="0011617E"/>
    <w:rsid w:val="00120AA5"/>
    <w:rsid w:val="001A7902"/>
    <w:rsid w:val="002178E0"/>
    <w:rsid w:val="00285AFE"/>
    <w:rsid w:val="00335DCB"/>
    <w:rsid w:val="00350204"/>
    <w:rsid w:val="00380344"/>
    <w:rsid w:val="003B672B"/>
    <w:rsid w:val="003B7019"/>
    <w:rsid w:val="003F6EFA"/>
    <w:rsid w:val="00432980"/>
    <w:rsid w:val="00484B5B"/>
    <w:rsid w:val="004A2867"/>
    <w:rsid w:val="004C4BAE"/>
    <w:rsid w:val="0051077F"/>
    <w:rsid w:val="005224C0"/>
    <w:rsid w:val="0057608C"/>
    <w:rsid w:val="005F4568"/>
    <w:rsid w:val="00613463"/>
    <w:rsid w:val="00764155"/>
    <w:rsid w:val="00790071"/>
    <w:rsid w:val="007A02A8"/>
    <w:rsid w:val="007C2784"/>
    <w:rsid w:val="007C2B55"/>
    <w:rsid w:val="008609D2"/>
    <w:rsid w:val="008A316E"/>
    <w:rsid w:val="008A6AF9"/>
    <w:rsid w:val="008B20D8"/>
    <w:rsid w:val="008C4533"/>
    <w:rsid w:val="00903DA2"/>
    <w:rsid w:val="00907E69"/>
    <w:rsid w:val="009660E2"/>
    <w:rsid w:val="00AD37A5"/>
    <w:rsid w:val="00B53250"/>
    <w:rsid w:val="00B638E7"/>
    <w:rsid w:val="00C25E3E"/>
    <w:rsid w:val="00C80568"/>
    <w:rsid w:val="00C814F9"/>
    <w:rsid w:val="00CD5BEC"/>
    <w:rsid w:val="00CD6FC9"/>
    <w:rsid w:val="00D23A14"/>
    <w:rsid w:val="00D834B2"/>
    <w:rsid w:val="00D94967"/>
    <w:rsid w:val="00DA27C6"/>
    <w:rsid w:val="00E45802"/>
    <w:rsid w:val="00E83F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DA386"/>
  <w15:chartTrackingRefBased/>
  <w15:docId w15:val="{30099F3E-FB97-40C8-A576-FB506C66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50"/>
    <w:pPr>
      <w:spacing w:after="0"/>
    </w:pPr>
    <w:rPr>
      <w:rFonts w:ascii="Open Sans" w:hAnsi="Open Sans"/>
      <w:color w:val="595959" w:themeColor="text1" w:themeTint="A6"/>
    </w:rPr>
  </w:style>
  <w:style w:type="paragraph" w:styleId="Heading1">
    <w:name w:val="heading 1"/>
    <w:basedOn w:val="Normal"/>
    <w:next w:val="Normal"/>
    <w:link w:val="Heading1Char"/>
    <w:uiPriority w:val="9"/>
    <w:qFormat/>
    <w:rsid w:val="00E83FB9"/>
    <w:pPr>
      <w:keepNext/>
      <w:keepLines/>
      <w:numPr>
        <w:numId w:val="13"/>
      </w:numPr>
      <w:spacing w:before="480" w:after="240"/>
      <w:outlineLvl w:val="0"/>
    </w:pPr>
    <w:rPr>
      <w:rFonts w:eastAsiaTheme="majorEastAsia" w:cstheme="majorBidi"/>
      <w:b/>
      <w:color w:val="038C73"/>
      <w:sz w:val="28"/>
      <w:szCs w:val="32"/>
    </w:rPr>
  </w:style>
  <w:style w:type="paragraph" w:styleId="Heading2">
    <w:name w:val="heading 2"/>
    <w:basedOn w:val="Normal"/>
    <w:next w:val="Normal"/>
    <w:link w:val="Heading2Char"/>
    <w:uiPriority w:val="9"/>
    <w:unhideWhenUsed/>
    <w:qFormat/>
    <w:rsid w:val="00E83FB9"/>
    <w:pPr>
      <w:keepNext/>
      <w:keepLines/>
      <w:numPr>
        <w:ilvl w:val="1"/>
        <w:numId w:val="10"/>
      </w:numPr>
      <w:spacing w:before="360" w:after="120" w:line="240" w:lineRule="auto"/>
      <w:outlineLvl w:val="1"/>
    </w:pPr>
    <w:rPr>
      <w:rFonts w:eastAsiaTheme="majorEastAsia" w:cstheme="majorBidi"/>
      <w:b/>
      <w:color w:val="058C73"/>
      <w:sz w:val="24"/>
      <w:szCs w:val="26"/>
    </w:rPr>
  </w:style>
  <w:style w:type="paragraph" w:styleId="Heading3">
    <w:name w:val="heading 3"/>
    <w:basedOn w:val="Heading2"/>
    <w:next w:val="Normal"/>
    <w:link w:val="Heading3Char"/>
    <w:uiPriority w:val="9"/>
    <w:unhideWhenUsed/>
    <w:qFormat/>
    <w:rsid w:val="00E83FB9"/>
    <w:pPr>
      <w:numPr>
        <w:ilvl w:val="2"/>
        <w:numId w:val="13"/>
      </w:numPr>
      <w:spacing w:before="40"/>
      <w:outlineLvl w:val="2"/>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77F"/>
    <w:pPr>
      <w:spacing w:before="240" w:line="240" w:lineRule="auto"/>
      <w:contextualSpacing/>
    </w:pPr>
    <w:rPr>
      <w:rFonts w:eastAsiaTheme="majorEastAsia" w:cstheme="majorBidi"/>
      <w:color w:val="038C73"/>
      <w:spacing w:val="-10"/>
      <w:kern w:val="28"/>
      <w:sz w:val="48"/>
      <w:szCs w:val="56"/>
    </w:rPr>
  </w:style>
  <w:style w:type="character" w:customStyle="1" w:styleId="TitleChar">
    <w:name w:val="Title Char"/>
    <w:basedOn w:val="DefaultParagraphFont"/>
    <w:link w:val="Title"/>
    <w:uiPriority w:val="10"/>
    <w:rsid w:val="0051077F"/>
    <w:rPr>
      <w:rFonts w:ascii="Open Sans" w:eastAsiaTheme="majorEastAsia" w:hAnsi="Open Sans" w:cstheme="majorBidi"/>
      <w:color w:val="038C73"/>
      <w:spacing w:val="-10"/>
      <w:kern w:val="28"/>
      <w:sz w:val="48"/>
      <w:szCs w:val="56"/>
    </w:rPr>
  </w:style>
  <w:style w:type="paragraph" w:styleId="Subtitle">
    <w:name w:val="Subtitle"/>
    <w:basedOn w:val="Normal"/>
    <w:next w:val="Normal"/>
    <w:link w:val="SubtitleChar"/>
    <w:uiPriority w:val="11"/>
    <w:qFormat/>
    <w:rsid w:val="0051077F"/>
    <w:pPr>
      <w:numPr>
        <w:ilvl w:val="1"/>
      </w:numPr>
      <w:spacing w:after="360"/>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51077F"/>
    <w:rPr>
      <w:rFonts w:ascii="Open Sans" w:eastAsiaTheme="minorEastAsia" w:hAnsi="Open Sans"/>
      <w:b/>
      <w:color w:val="5A5A5A" w:themeColor="text1" w:themeTint="A5"/>
      <w:spacing w:val="15"/>
      <w:sz w:val="32"/>
    </w:rPr>
  </w:style>
  <w:style w:type="character" w:customStyle="1" w:styleId="Heading1Char">
    <w:name w:val="Heading 1 Char"/>
    <w:basedOn w:val="DefaultParagraphFont"/>
    <w:link w:val="Heading1"/>
    <w:uiPriority w:val="9"/>
    <w:rsid w:val="00D834B2"/>
    <w:rPr>
      <w:rFonts w:ascii="Open Sans" w:eastAsiaTheme="majorEastAsia" w:hAnsi="Open Sans" w:cstheme="majorBidi"/>
      <w:b/>
      <w:color w:val="038C73"/>
      <w:sz w:val="28"/>
      <w:szCs w:val="32"/>
    </w:rPr>
  </w:style>
  <w:style w:type="character" w:customStyle="1" w:styleId="Heading2Char">
    <w:name w:val="Heading 2 Char"/>
    <w:basedOn w:val="DefaultParagraphFont"/>
    <w:link w:val="Heading2"/>
    <w:uiPriority w:val="9"/>
    <w:rsid w:val="00E83FB9"/>
    <w:rPr>
      <w:rFonts w:ascii="Open Sans" w:eastAsiaTheme="majorEastAsia" w:hAnsi="Open Sans" w:cstheme="majorBidi"/>
      <w:b/>
      <w:color w:val="058C73"/>
      <w:sz w:val="24"/>
      <w:szCs w:val="26"/>
    </w:rPr>
  </w:style>
  <w:style w:type="paragraph" w:styleId="ListParagraph">
    <w:name w:val="List Paragraph"/>
    <w:basedOn w:val="Normal"/>
    <w:uiPriority w:val="34"/>
    <w:qFormat/>
    <w:rsid w:val="00DA27C6"/>
    <w:pPr>
      <w:contextualSpacing/>
    </w:pPr>
  </w:style>
  <w:style w:type="character" w:customStyle="1" w:styleId="Heading3Char">
    <w:name w:val="Heading 3 Char"/>
    <w:basedOn w:val="DefaultParagraphFont"/>
    <w:link w:val="Heading3"/>
    <w:uiPriority w:val="9"/>
    <w:rsid w:val="00E83FB9"/>
    <w:rPr>
      <w:rFonts w:ascii="Open Sans" w:eastAsiaTheme="majorEastAsia" w:hAnsi="Open Sans" w:cstheme="majorBidi"/>
      <w:b/>
      <w:color w:val="058C73"/>
      <w:szCs w:val="24"/>
    </w:rPr>
  </w:style>
  <w:style w:type="paragraph" w:styleId="Header">
    <w:name w:val="header"/>
    <w:basedOn w:val="Normal"/>
    <w:link w:val="HeaderChar"/>
    <w:uiPriority w:val="99"/>
    <w:unhideWhenUsed/>
    <w:rsid w:val="00C814F9"/>
    <w:pPr>
      <w:tabs>
        <w:tab w:val="center" w:pos="4680"/>
        <w:tab w:val="right" w:pos="9360"/>
      </w:tabs>
      <w:spacing w:line="240" w:lineRule="auto"/>
    </w:pPr>
  </w:style>
  <w:style w:type="character" w:customStyle="1" w:styleId="HeaderChar">
    <w:name w:val="Header Char"/>
    <w:basedOn w:val="DefaultParagraphFont"/>
    <w:link w:val="Header"/>
    <w:uiPriority w:val="99"/>
    <w:rsid w:val="00C814F9"/>
    <w:rPr>
      <w:rFonts w:ascii="Open Sans" w:hAnsi="Open Sans"/>
      <w:color w:val="595959" w:themeColor="text1" w:themeTint="A6"/>
    </w:rPr>
  </w:style>
  <w:style w:type="paragraph" w:styleId="Footer">
    <w:name w:val="footer"/>
    <w:basedOn w:val="Normal"/>
    <w:link w:val="FooterChar"/>
    <w:uiPriority w:val="99"/>
    <w:unhideWhenUsed/>
    <w:rsid w:val="00C814F9"/>
    <w:pPr>
      <w:tabs>
        <w:tab w:val="center" w:pos="4680"/>
        <w:tab w:val="right" w:pos="9360"/>
      </w:tabs>
      <w:spacing w:line="240" w:lineRule="auto"/>
    </w:pPr>
  </w:style>
  <w:style w:type="character" w:customStyle="1" w:styleId="FooterChar">
    <w:name w:val="Footer Char"/>
    <w:basedOn w:val="DefaultParagraphFont"/>
    <w:link w:val="Footer"/>
    <w:uiPriority w:val="99"/>
    <w:rsid w:val="00C814F9"/>
    <w:rPr>
      <w:rFonts w:ascii="Open Sans" w:hAnsi="Open San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5978">
      <w:bodyDiv w:val="1"/>
      <w:marLeft w:val="0"/>
      <w:marRight w:val="0"/>
      <w:marTop w:val="0"/>
      <w:marBottom w:val="0"/>
      <w:divBdr>
        <w:top w:val="none" w:sz="0" w:space="0" w:color="auto"/>
        <w:left w:val="none" w:sz="0" w:space="0" w:color="auto"/>
        <w:bottom w:val="none" w:sz="0" w:space="0" w:color="auto"/>
        <w:right w:val="none" w:sz="0" w:space="0" w:color="auto"/>
      </w:divBdr>
    </w:div>
    <w:div w:id="453669988">
      <w:bodyDiv w:val="1"/>
      <w:marLeft w:val="0"/>
      <w:marRight w:val="0"/>
      <w:marTop w:val="0"/>
      <w:marBottom w:val="0"/>
      <w:divBdr>
        <w:top w:val="none" w:sz="0" w:space="0" w:color="auto"/>
        <w:left w:val="none" w:sz="0" w:space="0" w:color="auto"/>
        <w:bottom w:val="none" w:sz="0" w:space="0" w:color="auto"/>
        <w:right w:val="none" w:sz="0" w:space="0" w:color="auto"/>
      </w:divBdr>
    </w:div>
    <w:div w:id="556160352">
      <w:bodyDiv w:val="1"/>
      <w:marLeft w:val="0"/>
      <w:marRight w:val="0"/>
      <w:marTop w:val="0"/>
      <w:marBottom w:val="0"/>
      <w:divBdr>
        <w:top w:val="none" w:sz="0" w:space="0" w:color="auto"/>
        <w:left w:val="none" w:sz="0" w:space="0" w:color="auto"/>
        <w:bottom w:val="none" w:sz="0" w:space="0" w:color="auto"/>
        <w:right w:val="none" w:sz="0" w:space="0" w:color="auto"/>
      </w:divBdr>
    </w:div>
    <w:div w:id="991518267">
      <w:bodyDiv w:val="1"/>
      <w:marLeft w:val="0"/>
      <w:marRight w:val="0"/>
      <w:marTop w:val="0"/>
      <w:marBottom w:val="0"/>
      <w:divBdr>
        <w:top w:val="none" w:sz="0" w:space="0" w:color="auto"/>
        <w:left w:val="none" w:sz="0" w:space="0" w:color="auto"/>
        <w:bottom w:val="none" w:sz="0" w:space="0" w:color="auto"/>
        <w:right w:val="none" w:sz="0" w:space="0" w:color="auto"/>
      </w:divBdr>
    </w:div>
    <w:div w:id="1357849600">
      <w:bodyDiv w:val="1"/>
      <w:marLeft w:val="0"/>
      <w:marRight w:val="0"/>
      <w:marTop w:val="0"/>
      <w:marBottom w:val="0"/>
      <w:divBdr>
        <w:top w:val="none" w:sz="0" w:space="0" w:color="auto"/>
        <w:left w:val="none" w:sz="0" w:space="0" w:color="auto"/>
        <w:bottom w:val="none" w:sz="0" w:space="0" w:color="auto"/>
        <w:right w:val="none" w:sz="0" w:space="0" w:color="auto"/>
      </w:divBdr>
    </w:div>
    <w:div w:id="1398477816">
      <w:bodyDiv w:val="1"/>
      <w:marLeft w:val="0"/>
      <w:marRight w:val="0"/>
      <w:marTop w:val="0"/>
      <w:marBottom w:val="0"/>
      <w:divBdr>
        <w:top w:val="none" w:sz="0" w:space="0" w:color="auto"/>
        <w:left w:val="none" w:sz="0" w:space="0" w:color="auto"/>
        <w:bottom w:val="none" w:sz="0" w:space="0" w:color="auto"/>
        <w:right w:val="none" w:sz="0" w:space="0" w:color="auto"/>
      </w:divBdr>
    </w:div>
    <w:div w:id="1849515486">
      <w:bodyDiv w:val="1"/>
      <w:marLeft w:val="0"/>
      <w:marRight w:val="0"/>
      <w:marTop w:val="0"/>
      <w:marBottom w:val="0"/>
      <w:divBdr>
        <w:top w:val="none" w:sz="0" w:space="0" w:color="auto"/>
        <w:left w:val="none" w:sz="0" w:space="0" w:color="auto"/>
        <w:bottom w:val="none" w:sz="0" w:space="0" w:color="auto"/>
        <w:right w:val="none" w:sz="0" w:space="0" w:color="auto"/>
      </w:divBdr>
    </w:div>
    <w:div w:id="21400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EB2A-01CE-45AA-9FF6-77E0643F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McMeekin</dc:creator>
  <cp:keywords/>
  <dc:description/>
  <cp:lastModifiedBy>Sharon McMeekin</cp:lastModifiedBy>
  <cp:revision>7</cp:revision>
  <dcterms:created xsi:type="dcterms:W3CDTF">2022-06-13T15:03:00Z</dcterms:created>
  <dcterms:modified xsi:type="dcterms:W3CDTF">2022-08-30T13:13:00Z</dcterms:modified>
</cp:coreProperties>
</file>